
<file path=[Content_Types].xml><?xml version="1.0" encoding="utf-8"?>
<Types xmlns="http://schemas.openxmlformats.org/package/2006/content-types">
  <Default Extension="bin" ContentType="application/vnd.openxmlformats-officedocument.oleObject"/>
  <Default Extension="png" ContentType="image/png"/>
  <Default Extension="wmf" ContentType="image/x-e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3FAB03" w14:textId="77777777" w:rsidR="00830283" w:rsidRDefault="007919EB">
      <w:pPr>
        <w:spacing w:after="200" w:line="360" w:lineRule="auto"/>
        <w:jc w:val="center"/>
      </w:pPr>
      <w:r>
        <w:rPr>
          <w:rFonts w:ascii="Arial" w:hAnsi="Arial" w:cs="Arial"/>
          <w:b/>
        </w:rPr>
        <w:t>FUNDAÇÃO OSWALDO ARANHA</w:t>
      </w:r>
      <w:r>
        <w:rPr>
          <w:rFonts w:ascii="Arial" w:hAnsi="Arial" w:cs="Arial"/>
          <w:b/>
        </w:rPr>
        <w:br/>
        <w:t>CENTRO UNIVERSITÁRIO DE VOLTA REDONDA</w:t>
      </w:r>
      <w:r>
        <w:rPr>
          <w:rFonts w:ascii="Arial" w:hAnsi="Arial" w:cs="Arial"/>
          <w:b/>
        </w:rPr>
        <w:br/>
        <w:t xml:space="preserve">CURSO DE GRADUAÇÃO EM </w:t>
      </w:r>
      <w:r>
        <w:rPr>
          <w:rFonts w:ascii="Arial" w:hAnsi="Arial" w:cs="Arial"/>
          <w:b/>
          <w:color w:val="000000"/>
        </w:rPr>
        <w:t>CIÊNCIA CONTÁBIES</w:t>
      </w:r>
      <w:r>
        <w:rPr>
          <w:rFonts w:ascii="Arial" w:hAnsi="Arial" w:cs="Arial"/>
          <w:b/>
          <w:color w:val="000000"/>
        </w:rPr>
        <w:br/>
      </w:r>
      <w:r>
        <w:rPr>
          <w:rFonts w:ascii="Arial" w:hAnsi="Arial" w:cs="Arial"/>
          <w:b/>
        </w:rPr>
        <w:t>TRABALHO DE CONCLUSÃO DE CURSO</w:t>
      </w:r>
    </w:p>
    <w:p w14:paraId="13906929" w14:textId="77777777" w:rsidR="00830283" w:rsidRDefault="00830283">
      <w:pPr>
        <w:spacing w:after="200" w:line="360" w:lineRule="auto"/>
        <w:jc w:val="center"/>
        <w:rPr>
          <w:rFonts w:ascii="Arial" w:hAnsi="Arial" w:cs="Arial"/>
          <w:b/>
        </w:rPr>
      </w:pPr>
    </w:p>
    <w:p w14:paraId="261EFFEB" w14:textId="77777777" w:rsidR="00830283" w:rsidRDefault="00830283">
      <w:pPr>
        <w:spacing w:after="200" w:line="360" w:lineRule="auto"/>
        <w:jc w:val="center"/>
        <w:rPr>
          <w:rFonts w:ascii="Arial" w:hAnsi="Arial" w:cs="Arial"/>
          <w:b/>
        </w:rPr>
      </w:pPr>
    </w:p>
    <w:p w14:paraId="0E4CB2CA" w14:textId="77777777" w:rsidR="00830283" w:rsidRDefault="00830283">
      <w:pPr>
        <w:spacing w:after="200" w:line="360" w:lineRule="auto"/>
        <w:jc w:val="center"/>
        <w:rPr>
          <w:rFonts w:ascii="Arial" w:hAnsi="Arial" w:cs="Arial"/>
          <w:b/>
        </w:rPr>
      </w:pPr>
    </w:p>
    <w:p w14:paraId="2F73AFBF" w14:textId="77777777" w:rsidR="00830283" w:rsidRDefault="00464CA7" w:rsidP="00464CA7">
      <w:pPr>
        <w:spacing w:after="120" w:line="360" w:lineRule="auto"/>
        <w:jc w:val="center"/>
        <w:rPr>
          <w:rFonts w:ascii="Arial" w:hAnsi="Arial" w:cs="Arial"/>
          <w:b/>
        </w:rPr>
      </w:pPr>
      <w:r>
        <w:rPr>
          <w:rFonts w:ascii="Arial" w:hAnsi="Arial" w:cs="Arial"/>
          <w:b/>
        </w:rPr>
        <w:t xml:space="preserve">FILIPE DE OLIVEIRA GUIMARÃES </w:t>
      </w:r>
    </w:p>
    <w:p w14:paraId="042A0D5B" w14:textId="77777777" w:rsidR="00830283" w:rsidRDefault="00464CA7" w:rsidP="00464CA7">
      <w:pPr>
        <w:spacing w:after="120" w:line="360" w:lineRule="auto"/>
        <w:jc w:val="center"/>
        <w:rPr>
          <w:rFonts w:ascii="Arial" w:hAnsi="Arial" w:cs="Arial"/>
          <w:b/>
        </w:rPr>
      </w:pPr>
      <w:r>
        <w:rPr>
          <w:rFonts w:ascii="Arial" w:hAnsi="Arial" w:cs="Arial"/>
          <w:b/>
        </w:rPr>
        <w:t xml:space="preserve">ROBERTA MARA DA SILVA ARAUJO RIBEIRO </w:t>
      </w:r>
    </w:p>
    <w:p w14:paraId="5C4EFCCD" w14:textId="77777777" w:rsidR="00830283" w:rsidRDefault="00830283">
      <w:pPr>
        <w:spacing w:after="200" w:line="360" w:lineRule="auto"/>
        <w:jc w:val="center"/>
        <w:rPr>
          <w:rFonts w:ascii="Arial" w:hAnsi="Arial" w:cs="Arial"/>
          <w:b/>
        </w:rPr>
      </w:pPr>
    </w:p>
    <w:p w14:paraId="5D452CC5" w14:textId="77777777" w:rsidR="00830283" w:rsidRDefault="00830283">
      <w:pPr>
        <w:spacing w:after="200" w:line="360" w:lineRule="auto"/>
        <w:jc w:val="center"/>
        <w:rPr>
          <w:rFonts w:ascii="Arial" w:hAnsi="Arial" w:cs="Arial"/>
          <w:b/>
        </w:rPr>
      </w:pPr>
    </w:p>
    <w:p w14:paraId="41D37BC6" w14:textId="77777777" w:rsidR="00830283" w:rsidRDefault="00830283">
      <w:pPr>
        <w:spacing w:after="200" w:line="360" w:lineRule="auto"/>
        <w:jc w:val="center"/>
        <w:rPr>
          <w:rFonts w:ascii="Arial" w:hAnsi="Arial" w:cs="Arial"/>
          <w:b/>
        </w:rPr>
      </w:pPr>
    </w:p>
    <w:p w14:paraId="69403E95" w14:textId="797801CC" w:rsidR="00830283" w:rsidRPr="0091690B" w:rsidRDefault="007919EB">
      <w:pPr>
        <w:spacing w:after="200" w:line="360" w:lineRule="auto"/>
        <w:jc w:val="center"/>
        <w:rPr>
          <w:rFonts w:ascii="Arial" w:hAnsi="Arial" w:cs="Arial"/>
          <w:b/>
          <w:sz w:val="28"/>
          <w:szCs w:val="28"/>
        </w:rPr>
      </w:pPr>
      <w:r w:rsidRPr="0091690B">
        <w:rPr>
          <w:rFonts w:ascii="Arial" w:hAnsi="Arial" w:cs="Arial"/>
          <w:b/>
          <w:sz w:val="28"/>
          <w:szCs w:val="28"/>
        </w:rPr>
        <w:t xml:space="preserve">CONTABILIDADE ELEITORAL: </w:t>
      </w:r>
      <w:r w:rsidR="00402A66">
        <w:rPr>
          <w:rFonts w:ascii="Arial" w:hAnsi="Arial" w:cs="Arial"/>
          <w:b/>
          <w:sz w:val="28"/>
          <w:szCs w:val="28"/>
        </w:rPr>
        <w:t xml:space="preserve">UMA </w:t>
      </w:r>
      <w:r w:rsidRPr="0091690B">
        <w:rPr>
          <w:rFonts w:ascii="Arial" w:hAnsi="Arial" w:cs="Arial"/>
          <w:b/>
          <w:sz w:val="28"/>
          <w:szCs w:val="28"/>
        </w:rPr>
        <w:t xml:space="preserve">ANÁLISE </w:t>
      </w:r>
      <w:r w:rsidR="00402A66">
        <w:rPr>
          <w:rFonts w:ascii="Arial" w:hAnsi="Arial" w:cs="Arial"/>
          <w:b/>
          <w:sz w:val="28"/>
          <w:szCs w:val="28"/>
        </w:rPr>
        <w:t>QUANTO À</w:t>
      </w:r>
      <w:r w:rsidRPr="0091690B">
        <w:rPr>
          <w:rFonts w:ascii="Arial" w:hAnsi="Arial" w:cs="Arial"/>
          <w:b/>
          <w:sz w:val="28"/>
          <w:szCs w:val="28"/>
        </w:rPr>
        <w:t xml:space="preserve"> TRANSPARÊNCIA DAS PRESTAÇÕES DE CONTAS DOS PARTIDOS POLÍTICOS</w:t>
      </w:r>
      <w:r w:rsidRPr="0091690B">
        <w:rPr>
          <w:rFonts w:ascii="Arial" w:hAnsi="Arial" w:cs="Arial"/>
          <w:b/>
          <w:sz w:val="28"/>
          <w:szCs w:val="28"/>
        </w:rPr>
        <w:br/>
      </w:r>
    </w:p>
    <w:p w14:paraId="60ADCA4B" w14:textId="77777777" w:rsidR="00830283" w:rsidRDefault="00830283">
      <w:pPr>
        <w:spacing w:after="200" w:line="360" w:lineRule="auto"/>
        <w:jc w:val="center"/>
        <w:rPr>
          <w:rFonts w:ascii="Arial" w:hAnsi="Arial" w:cs="Arial"/>
          <w:b/>
        </w:rPr>
      </w:pPr>
    </w:p>
    <w:p w14:paraId="06369C3B" w14:textId="77777777" w:rsidR="00830283" w:rsidRDefault="00830283">
      <w:pPr>
        <w:spacing w:after="200" w:line="360" w:lineRule="auto"/>
        <w:jc w:val="center"/>
        <w:rPr>
          <w:rFonts w:ascii="Arial" w:hAnsi="Arial" w:cs="Arial"/>
          <w:b/>
        </w:rPr>
      </w:pPr>
    </w:p>
    <w:p w14:paraId="78143602" w14:textId="77777777" w:rsidR="00830283" w:rsidRDefault="00830283">
      <w:pPr>
        <w:spacing w:after="200" w:line="360" w:lineRule="auto"/>
        <w:jc w:val="center"/>
        <w:rPr>
          <w:rFonts w:ascii="Arial" w:hAnsi="Arial" w:cs="Arial"/>
          <w:b/>
        </w:rPr>
      </w:pPr>
    </w:p>
    <w:p w14:paraId="3A68DBDE" w14:textId="77777777" w:rsidR="00830283" w:rsidRDefault="00830283">
      <w:pPr>
        <w:spacing w:after="200" w:line="360" w:lineRule="auto"/>
        <w:jc w:val="center"/>
        <w:rPr>
          <w:rFonts w:ascii="Arial" w:hAnsi="Arial" w:cs="Arial"/>
          <w:b/>
        </w:rPr>
      </w:pPr>
    </w:p>
    <w:p w14:paraId="63C7B846" w14:textId="77777777" w:rsidR="00830283" w:rsidRDefault="00830283">
      <w:pPr>
        <w:spacing w:after="200" w:line="360" w:lineRule="auto"/>
        <w:jc w:val="center"/>
        <w:rPr>
          <w:rFonts w:ascii="Arial" w:hAnsi="Arial" w:cs="Arial"/>
          <w:b/>
        </w:rPr>
      </w:pPr>
    </w:p>
    <w:p w14:paraId="7FF55375" w14:textId="77777777" w:rsidR="00830283" w:rsidRDefault="00830283">
      <w:pPr>
        <w:spacing w:after="200" w:line="360" w:lineRule="auto"/>
        <w:jc w:val="center"/>
        <w:rPr>
          <w:rFonts w:ascii="Arial" w:hAnsi="Arial" w:cs="Arial"/>
          <w:b/>
        </w:rPr>
      </w:pPr>
    </w:p>
    <w:p w14:paraId="018F9D47" w14:textId="77777777" w:rsidR="00830283" w:rsidRDefault="007919EB">
      <w:pPr>
        <w:spacing w:after="200" w:line="360" w:lineRule="auto"/>
        <w:jc w:val="center"/>
      </w:pPr>
      <w:r>
        <w:rPr>
          <w:rFonts w:ascii="Arial" w:hAnsi="Arial" w:cs="Arial"/>
          <w:b/>
        </w:rPr>
        <w:t>VOLTA REDONDA</w:t>
      </w:r>
      <w:r>
        <w:rPr>
          <w:rFonts w:ascii="Arial" w:hAnsi="Arial" w:cs="Arial"/>
          <w:b/>
        </w:rPr>
        <w:br/>
        <w:t>2024</w:t>
      </w:r>
    </w:p>
    <w:p w14:paraId="7D916450" w14:textId="77777777" w:rsidR="00830283" w:rsidRDefault="007919EB">
      <w:pPr>
        <w:pageBreakBefore/>
        <w:spacing w:after="200" w:line="360" w:lineRule="auto"/>
        <w:jc w:val="center"/>
      </w:pPr>
      <w:r>
        <w:rPr>
          <w:rFonts w:ascii="Arial" w:hAnsi="Arial" w:cs="Arial"/>
          <w:b/>
        </w:rPr>
        <w:lastRenderedPageBreak/>
        <w:t>FUNDAÇÃO OSWALDO ARANHA</w:t>
      </w:r>
      <w:r>
        <w:rPr>
          <w:rFonts w:ascii="Arial" w:hAnsi="Arial" w:cs="Arial"/>
          <w:b/>
        </w:rPr>
        <w:br/>
        <w:t>CENTRO UNIVERSITÁRIO DE VOLTA REDONDA</w:t>
      </w:r>
      <w:r>
        <w:rPr>
          <w:rFonts w:ascii="Arial" w:hAnsi="Arial" w:cs="Arial"/>
          <w:b/>
        </w:rPr>
        <w:br/>
        <w:t xml:space="preserve">CURSO DE GRADUAÇÃO EM </w:t>
      </w:r>
      <w:r>
        <w:rPr>
          <w:rFonts w:ascii="Arial" w:hAnsi="Arial" w:cs="Arial"/>
          <w:b/>
          <w:color w:val="000000"/>
        </w:rPr>
        <w:t>CIÊNCIA CONTÁBIES</w:t>
      </w:r>
      <w:r>
        <w:rPr>
          <w:rFonts w:ascii="Arial" w:hAnsi="Arial" w:cs="Arial"/>
          <w:b/>
          <w:color w:val="000000"/>
        </w:rPr>
        <w:br/>
      </w:r>
      <w:r>
        <w:rPr>
          <w:rFonts w:ascii="Arial" w:hAnsi="Arial" w:cs="Arial"/>
          <w:b/>
        </w:rPr>
        <w:t>TRABALHO DE CONCLUSÃO DE CURSO</w:t>
      </w:r>
    </w:p>
    <w:p w14:paraId="4DC241C1" w14:textId="77777777" w:rsidR="00830283" w:rsidRDefault="00830283">
      <w:pPr>
        <w:spacing w:after="200" w:line="360" w:lineRule="auto"/>
        <w:rPr>
          <w:rFonts w:ascii="Arial" w:hAnsi="Arial" w:cs="Arial"/>
          <w:b/>
        </w:rPr>
      </w:pPr>
    </w:p>
    <w:p w14:paraId="306175B0" w14:textId="77777777" w:rsidR="00830283" w:rsidRDefault="00830283">
      <w:pPr>
        <w:spacing w:after="200" w:line="360" w:lineRule="auto"/>
        <w:jc w:val="center"/>
        <w:rPr>
          <w:rFonts w:ascii="Arial" w:hAnsi="Arial" w:cs="Arial"/>
          <w:b/>
        </w:rPr>
      </w:pPr>
    </w:p>
    <w:p w14:paraId="25EC9BFC" w14:textId="41CF0726" w:rsidR="00830283" w:rsidRPr="0091690B" w:rsidRDefault="00402A66">
      <w:pPr>
        <w:spacing w:after="200" w:line="360" w:lineRule="auto"/>
        <w:jc w:val="center"/>
        <w:rPr>
          <w:rFonts w:ascii="Arial" w:hAnsi="Arial" w:cs="Arial"/>
          <w:b/>
          <w:sz w:val="28"/>
          <w:szCs w:val="28"/>
        </w:rPr>
      </w:pPr>
      <w:r w:rsidRPr="0091690B">
        <w:rPr>
          <w:rFonts w:ascii="Arial" w:hAnsi="Arial" w:cs="Arial"/>
          <w:b/>
          <w:sz w:val="28"/>
          <w:szCs w:val="28"/>
        </w:rPr>
        <w:t xml:space="preserve">CONTABILIDADE ELEITORAL: </w:t>
      </w:r>
      <w:r>
        <w:rPr>
          <w:rFonts w:ascii="Arial" w:hAnsi="Arial" w:cs="Arial"/>
          <w:b/>
          <w:sz w:val="28"/>
          <w:szCs w:val="28"/>
        </w:rPr>
        <w:t xml:space="preserve">UMA </w:t>
      </w:r>
      <w:r w:rsidRPr="0091690B">
        <w:rPr>
          <w:rFonts w:ascii="Arial" w:hAnsi="Arial" w:cs="Arial"/>
          <w:b/>
          <w:sz w:val="28"/>
          <w:szCs w:val="28"/>
        </w:rPr>
        <w:t xml:space="preserve">ANÁLISE </w:t>
      </w:r>
      <w:r>
        <w:rPr>
          <w:rFonts w:ascii="Arial" w:hAnsi="Arial" w:cs="Arial"/>
          <w:b/>
          <w:sz w:val="28"/>
          <w:szCs w:val="28"/>
        </w:rPr>
        <w:t>QUANTO À</w:t>
      </w:r>
      <w:r w:rsidRPr="0091690B">
        <w:rPr>
          <w:rFonts w:ascii="Arial" w:hAnsi="Arial" w:cs="Arial"/>
          <w:b/>
          <w:sz w:val="28"/>
          <w:szCs w:val="28"/>
        </w:rPr>
        <w:t xml:space="preserve"> TRANSPARÊNCIA DAS PRESTAÇÕES DE CONTAS DOS PARTIDOS POLÍTICOS</w:t>
      </w:r>
      <w:r w:rsidR="007919EB" w:rsidRPr="0091690B">
        <w:rPr>
          <w:rFonts w:ascii="Arial" w:hAnsi="Arial" w:cs="Arial"/>
          <w:b/>
          <w:sz w:val="28"/>
          <w:szCs w:val="28"/>
        </w:rPr>
        <w:br/>
      </w:r>
    </w:p>
    <w:p w14:paraId="15051D0F" w14:textId="77777777" w:rsidR="00830283" w:rsidRDefault="00830283" w:rsidP="00402A66">
      <w:pPr>
        <w:spacing w:after="200" w:line="360" w:lineRule="auto"/>
        <w:rPr>
          <w:rFonts w:ascii="Arial" w:hAnsi="Arial" w:cs="Arial"/>
          <w:b/>
        </w:rPr>
      </w:pPr>
    </w:p>
    <w:p w14:paraId="00389628" w14:textId="37099914" w:rsidR="00830283" w:rsidRDefault="007919EB">
      <w:pPr>
        <w:spacing w:after="200" w:line="360" w:lineRule="auto"/>
        <w:ind w:left="4536"/>
        <w:rPr>
          <w:rFonts w:ascii="Arial" w:hAnsi="Arial" w:cs="Arial"/>
        </w:rPr>
      </w:pPr>
      <w:r>
        <w:rPr>
          <w:rFonts w:ascii="Arial" w:hAnsi="Arial" w:cs="Arial"/>
        </w:rPr>
        <w:br/>
      </w:r>
      <w:r w:rsidR="00464CA7">
        <w:rPr>
          <w:rFonts w:ascii="Arial" w:hAnsi="Arial" w:cs="Arial"/>
        </w:rPr>
        <w:t>T</w:t>
      </w:r>
      <w:r>
        <w:rPr>
          <w:rFonts w:ascii="Arial" w:hAnsi="Arial" w:cs="Arial"/>
        </w:rPr>
        <w:t xml:space="preserve">rabalho de Conclusão de Curso Ciências Contábeis do UniFOA como requisito parcial para obtenção do título de bacharel em </w:t>
      </w:r>
      <w:r w:rsidR="0018154B">
        <w:rPr>
          <w:rFonts w:ascii="Arial" w:hAnsi="Arial" w:cs="Arial"/>
        </w:rPr>
        <w:t>Ciências Contábeis.</w:t>
      </w:r>
    </w:p>
    <w:p w14:paraId="15E52303" w14:textId="77777777" w:rsidR="00830283" w:rsidRDefault="007919EB">
      <w:pPr>
        <w:spacing w:after="200"/>
        <w:ind w:left="4536"/>
        <w:rPr>
          <w:rFonts w:ascii="Arial" w:hAnsi="Arial" w:cs="Arial"/>
        </w:rPr>
      </w:pPr>
      <w:r>
        <w:rPr>
          <w:rFonts w:ascii="Arial" w:hAnsi="Arial" w:cs="Arial"/>
        </w:rPr>
        <w:t xml:space="preserve"> </w:t>
      </w:r>
    </w:p>
    <w:p w14:paraId="127CD4D7" w14:textId="77777777" w:rsidR="0023606B" w:rsidRDefault="007919EB" w:rsidP="00AF6DE3">
      <w:pPr>
        <w:spacing w:after="120" w:line="360" w:lineRule="auto"/>
        <w:ind w:left="4536"/>
        <w:rPr>
          <w:rFonts w:ascii="Arial" w:hAnsi="Arial" w:cs="Arial"/>
        </w:rPr>
      </w:pPr>
      <w:r>
        <w:rPr>
          <w:rFonts w:ascii="Arial" w:hAnsi="Arial" w:cs="Arial"/>
        </w:rPr>
        <w:t>Aluna: Roberta Mara da Silva Araujo Ribeiro</w:t>
      </w:r>
      <w:r w:rsidR="0023606B">
        <w:rPr>
          <w:rFonts w:ascii="Arial" w:hAnsi="Arial" w:cs="Arial"/>
        </w:rPr>
        <w:t xml:space="preserve"> </w:t>
      </w:r>
      <w:r>
        <w:rPr>
          <w:rFonts w:ascii="Arial" w:hAnsi="Arial" w:cs="Arial"/>
        </w:rPr>
        <w:t xml:space="preserve"> </w:t>
      </w:r>
    </w:p>
    <w:p w14:paraId="59FE02C8" w14:textId="77777777" w:rsidR="00830283" w:rsidRDefault="0023606B" w:rsidP="00AF6DE3">
      <w:pPr>
        <w:spacing w:after="120" w:line="360" w:lineRule="auto"/>
        <w:ind w:left="4536"/>
        <w:rPr>
          <w:rFonts w:ascii="Arial" w:hAnsi="Arial" w:cs="Arial"/>
        </w:rPr>
      </w:pPr>
      <w:r>
        <w:rPr>
          <w:rFonts w:ascii="Arial" w:hAnsi="Arial" w:cs="Arial"/>
        </w:rPr>
        <w:t xml:space="preserve">Aluno: </w:t>
      </w:r>
      <w:r w:rsidR="007919EB">
        <w:rPr>
          <w:rFonts w:ascii="Arial" w:hAnsi="Arial" w:cs="Arial"/>
        </w:rPr>
        <w:t xml:space="preserve">Filipe </w:t>
      </w:r>
      <w:r w:rsidR="00AF6DE3">
        <w:rPr>
          <w:rFonts w:ascii="Arial" w:hAnsi="Arial" w:cs="Arial"/>
        </w:rPr>
        <w:t>O</w:t>
      </w:r>
      <w:r w:rsidR="007919EB">
        <w:rPr>
          <w:rFonts w:ascii="Arial" w:hAnsi="Arial" w:cs="Arial"/>
        </w:rPr>
        <w:t xml:space="preserve">liveira Guimarães </w:t>
      </w:r>
    </w:p>
    <w:p w14:paraId="00BD8FAA" w14:textId="77777777" w:rsidR="00830283" w:rsidRDefault="007919EB">
      <w:pPr>
        <w:spacing w:after="200"/>
        <w:ind w:left="4536"/>
        <w:rPr>
          <w:rFonts w:ascii="Arial" w:hAnsi="Arial" w:cs="Arial"/>
        </w:rPr>
      </w:pPr>
      <w:r>
        <w:rPr>
          <w:rFonts w:ascii="Arial" w:hAnsi="Arial" w:cs="Arial"/>
        </w:rPr>
        <w:t xml:space="preserve"> </w:t>
      </w:r>
    </w:p>
    <w:p w14:paraId="033D2854" w14:textId="77777777" w:rsidR="00830283" w:rsidRDefault="007919EB" w:rsidP="00AF6DE3">
      <w:pPr>
        <w:spacing w:after="120" w:line="360" w:lineRule="auto"/>
        <w:ind w:left="4536"/>
        <w:rPr>
          <w:rFonts w:ascii="Arial" w:hAnsi="Arial" w:cs="Arial"/>
        </w:rPr>
      </w:pPr>
      <w:r>
        <w:rPr>
          <w:rFonts w:ascii="Arial" w:hAnsi="Arial" w:cs="Arial"/>
        </w:rPr>
        <w:t>Orientador</w:t>
      </w:r>
      <w:r w:rsidR="00AF6DE3">
        <w:rPr>
          <w:rFonts w:ascii="Arial" w:hAnsi="Arial" w:cs="Arial"/>
        </w:rPr>
        <w:t>a</w:t>
      </w:r>
      <w:r>
        <w:rPr>
          <w:rFonts w:ascii="Arial" w:hAnsi="Arial" w:cs="Arial"/>
        </w:rPr>
        <w:t>: Prof</w:t>
      </w:r>
      <w:r w:rsidR="00AF6DE3">
        <w:rPr>
          <w:rFonts w:ascii="Arial" w:hAnsi="Arial" w:cs="Arial"/>
        </w:rPr>
        <w:t>a</w:t>
      </w:r>
      <w:r>
        <w:rPr>
          <w:rFonts w:ascii="Arial" w:hAnsi="Arial" w:cs="Arial"/>
        </w:rPr>
        <w:t xml:space="preserve">. </w:t>
      </w:r>
      <w:r w:rsidR="00AF6DE3">
        <w:rPr>
          <w:rFonts w:ascii="Arial" w:hAnsi="Arial" w:cs="Arial"/>
        </w:rPr>
        <w:t>D</w:t>
      </w:r>
      <w:r>
        <w:rPr>
          <w:rFonts w:ascii="Arial" w:hAnsi="Arial" w:cs="Arial"/>
        </w:rPr>
        <w:t>r</w:t>
      </w:r>
      <w:r w:rsidR="00AF6DE3">
        <w:rPr>
          <w:rFonts w:ascii="Arial" w:hAnsi="Arial" w:cs="Arial"/>
        </w:rPr>
        <w:t>a</w:t>
      </w:r>
      <w:r>
        <w:rPr>
          <w:rFonts w:ascii="Arial" w:hAnsi="Arial" w:cs="Arial"/>
        </w:rPr>
        <w:t xml:space="preserve">. </w:t>
      </w:r>
      <w:r w:rsidR="00AF6DE3">
        <w:rPr>
          <w:rFonts w:ascii="Arial" w:hAnsi="Arial" w:cs="Arial"/>
        </w:rPr>
        <w:t>Salete Leone Ferreira</w:t>
      </w:r>
    </w:p>
    <w:p w14:paraId="5C40E180" w14:textId="77777777" w:rsidR="00830283" w:rsidRDefault="00830283">
      <w:pPr>
        <w:spacing w:after="200" w:line="360" w:lineRule="auto"/>
        <w:jc w:val="center"/>
        <w:rPr>
          <w:rFonts w:ascii="Arial" w:hAnsi="Arial" w:cs="Arial"/>
        </w:rPr>
      </w:pPr>
    </w:p>
    <w:p w14:paraId="4017DFAD" w14:textId="77777777" w:rsidR="00830283" w:rsidRDefault="00830283">
      <w:pPr>
        <w:spacing w:after="200" w:line="360" w:lineRule="auto"/>
        <w:rPr>
          <w:rFonts w:ascii="Arial" w:hAnsi="Arial" w:cs="Arial"/>
        </w:rPr>
      </w:pPr>
    </w:p>
    <w:p w14:paraId="6EECB7DA" w14:textId="77777777" w:rsidR="00830283" w:rsidRDefault="007919EB">
      <w:pPr>
        <w:spacing w:after="200" w:line="360" w:lineRule="auto"/>
        <w:jc w:val="center"/>
        <w:rPr>
          <w:rFonts w:ascii="Arial" w:hAnsi="Arial" w:cs="Arial"/>
          <w:b/>
        </w:rPr>
      </w:pPr>
      <w:r>
        <w:rPr>
          <w:rFonts w:ascii="Arial" w:hAnsi="Arial" w:cs="Arial"/>
          <w:b/>
        </w:rPr>
        <w:t>VOLTA REDONDA</w:t>
      </w:r>
      <w:r>
        <w:rPr>
          <w:rFonts w:ascii="Arial" w:hAnsi="Arial" w:cs="Arial"/>
          <w:b/>
        </w:rPr>
        <w:br/>
        <w:t>2024</w:t>
      </w:r>
    </w:p>
    <w:p w14:paraId="64FF470C" w14:textId="77777777" w:rsidR="00EA0D92" w:rsidRDefault="0018154B" w:rsidP="0018154B">
      <w:pPr>
        <w:spacing w:line="360" w:lineRule="auto"/>
        <w:ind w:left="-426"/>
        <w:rPr>
          <w:rFonts w:ascii="Arial" w:hAnsi="Arial" w:cs="Arial"/>
          <w:b/>
          <w:color w:val="FF0000"/>
        </w:rPr>
        <w:sectPr w:rsidR="00EA0D92">
          <w:headerReference w:type="even" r:id="rId7"/>
          <w:headerReference w:type="default" r:id="rId8"/>
          <w:footerReference w:type="even" r:id="rId9"/>
          <w:footerReference w:type="default" r:id="rId10"/>
          <w:headerReference w:type="first" r:id="rId11"/>
          <w:footerReference w:type="first" r:id="rId12"/>
          <w:pgSz w:w="11906" w:h="16838"/>
          <w:pgMar w:top="1701" w:right="1134" w:bottom="1134" w:left="1701" w:header="454" w:footer="170" w:gutter="0"/>
          <w:cols w:space="720"/>
        </w:sectPr>
      </w:pPr>
      <w:r w:rsidRPr="0018154B">
        <w:rPr>
          <w:rFonts w:ascii="Arial" w:hAnsi="Arial" w:cs="Arial"/>
          <w:b/>
          <w:color w:val="FF0000"/>
        </w:rPr>
        <w:object w:dxaOrig="7140" w:dyaOrig="10104" w14:anchorId="0FD935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6pt;height:655.2pt" o:ole="">
            <v:imagedata r:id="rId13" o:title=""/>
          </v:shape>
          <o:OLEObject Type="Embed" ProgID="Acrobat.Document.DC" ShapeID="_x0000_i1025" DrawAspect="Content" ObjectID="_1796223628" r:id="rId14"/>
        </w:object>
      </w:r>
    </w:p>
    <w:tbl>
      <w:tblPr>
        <w:tblStyle w:val="Tabelacomgrade"/>
        <w:tblpPr w:leftFromText="141" w:rightFromText="141" w:vertAnchor="text" w:horzAnchor="margin" w:tblpXSpec="right" w:tblpY="-122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277"/>
      </w:tblGrid>
      <w:tr w:rsidR="007166D2" w14:paraId="4E76FD0F" w14:textId="77777777" w:rsidTr="007166D2">
        <w:tc>
          <w:tcPr>
            <w:tcW w:w="277" w:type="dxa"/>
            <w:shd w:val="clear" w:color="auto" w:fill="FFFFFF" w:themeFill="background1"/>
          </w:tcPr>
          <w:p w14:paraId="0A829411" w14:textId="77777777" w:rsidR="007166D2" w:rsidRDefault="007166D2" w:rsidP="007166D2">
            <w:pPr>
              <w:jc w:val="center"/>
              <w:rPr>
                <w:rFonts w:ascii="Arial" w:hAnsi="Arial" w:cs="Arial"/>
                <w:b/>
              </w:rPr>
            </w:pPr>
          </w:p>
        </w:tc>
      </w:tr>
    </w:tbl>
    <w:p w14:paraId="3EC1CC4A" w14:textId="75269A6D" w:rsidR="00830283" w:rsidRPr="00C40C7D" w:rsidRDefault="00830283" w:rsidP="0018154B">
      <w:pPr>
        <w:spacing w:line="360" w:lineRule="auto"/>
        <w:ind w:left="-426"/>
      </w:pPr>
    </w:p>
    <w:p w14:paraId="4082FB9F" w14:textId="77777777" w:rsidR="00BC6D9D" w:rsidRDefault="00BC6D9D">
      <w:pPr>
        <w:pStyle w:val="EMAILAUTOR"/>
      </w:pPr>
    </w:p>
    <w:p w14:paraId="4AA69F4E" w14:textId="77777777" w:rsidR="007166D2" w:rsidRDefault="007919EB" w:rsidP="00D87187">
      <w:pPr>
        <w:jc w:val="center"/>
        <w:rPr>
          <w:rFonts w:ascii="Arial" w:hAnsi="Arial" w:cs="Arial"/>
          <w:b/>
        </w:rPr>
      </w:pPr>
      <w:r>
        <w:rPr>
          <w:rFonts w:ascii="Arial" w:hAnsi="Arial" w:cs="Arial"/>
          <w:b/>
        </w:rPr>
        <w:t>Resumo</w:t>
      </w:r>
    </w:p>
    <w:p w14:paraId="3FD2BD34" w14:textId="14A64B62" w:rsidR="00D87187" w:rsidRDefault="00D87187" w:rsidP="00D87187">
      <w:pPr>
        <w:jc w:val="center"/>
        <w:rPr>
          <w:rFonts w:ascii="Arial" w:hAnsi="Arial" w:cs="Arial"/>
          <w:b/>
        </w:rPr>
      </w:pPr>
    </w:p>
    <w:p w14:paraId="0F5F7FFB" w14:textId="77777777" w:rsidR="00D87187" w:rsidRDefault="00D87187" w:rsidP="00BC6D9D">
      <w:pPr>
        <w:rPr>
          <w:rFonts w:ascii="Arial" w:hAnsi="Arial" w:cs="Arial"/>
          <w:b/>
        </w:rPr>
      </w:pPr>
    </w:p>
    <w:p w14:paraId="5870E0B5" w14:textId="1E78898F" w:rsidR="004F5A51" w:rsidRDefault="007919EB" w:rsidP="00BC6D9D">
      <w:pPr>
        <w:rPr>
          <w:rFonts w:ascii="Arial" w:hAnsi="Arial" w:cs="Arial"/>
          <w:bCs/>
        </w:rPr>
      </w:pPr>
      <w:r>
        <w:rPr>
          <w:rFonts w:ascii="Arial" w:hAnsi="Arial" w:cs="Arial"/>
          <w:bCs/>
        </w:rPr>
        <w:t xml:space="preserve">A prestação de contas </w:t>
      </w:r>
      <w:r w:rsidR="000F3EFF">
        <w:rPr>
          <w:rFonts w:ascii="Arial" w:hAnsi="Arial" w:cs="Arial"/>
          <w:bCs/>
        </w:rPr>
        <w:t xml:space="preserve">dos partidos políticos </w:t>
      </w:r>
      <w:r>
        <w:rPr>
          <w:rFonts w:ascii="Arial" w:hAnsi="Arial" w:cs="Arial"/>
          <w:bCs/>
        </w:rPr>
        <w:t>é essencial para garantir que os recursos financeiros sejam aplicados de maneira ética e em conformidade com a legislação, promovendo uma competição mais justa entre os candidatos.</w:t>
      </w:r>
      <w:r w:rsidR="00C70728">
        <w:rPr>
          <w:rFonts w:ascii="Arial" w:hAnsi="Arial" w:cs="Arial"/>
          <w:bCs/>
        </w:rPr>
        <w:t xml:space="preserve"> </w:t>
      </w:r>
      <w:r w:rsidR="00DF220F">
        <w:rPr>
          <w:rFonts w:ascii="Arial" w:hAnsi="Arial" w:cs="Arial"/>
        </w:rPr>
        <w:t>Objetiva-se</w:t>
      </w:r>
      <w:r w:rsidR="00F26ECA" w:rsidRPr="004A3E67">
        <w:rPr>
          <w:rFonts w:ascii="Arial" w:hAnsi="Arial" w:cs="Arial"/>
        </w:rPr>
        <w:t xml:space="preserve"> </w:t>
      </w:r>
      <w:r w:rsidR="00AD6DA0">
        <w:rPr>
          <w:rFonts w:ascii="Arial" w:hAnsi="Arial" w:cs="Arial"/>
        </w:rPr>
        <w:t xml:space="preserve">analisar a contabilidade eleitoral, com ênfase na transparência e na equidade no processo de prestação de contas dos partidos políticos no Brasil. Questiona-se </w:t>
      </w:r>
      <w:r w:rsidR="00AD6DA0" w:rsidRPr="009B65D7">
        <w:rPr>
          <w:rFonts w:ascii="Arial" w:hAnsi="Arial" w:cs="Arial"/>
        </w:rPr>
        <w:t>a eficácia da contabilidade eleitoral como instrumento de controle</w:t>
      </w:r>
      <w:r w:rsidR="00402A66">
        <w:rPr>
          <w:rFonts w:ascii="Arial" w:hAnsi="Arial" w:cs="Arial"/>
        </w:rPr>
        <w:t xml:space="preserve"> das informações para sociedade</w:t>
      </w:r>
      <w:r w:rsidR="00AD6DA0" w:rsidRPr="009B65D7">
        <w:rPr>
          <w:rFonts w:ascii="Arial" w:hAnsi="Arial" w:cs="Arial"/>
        </w:rPr>
        <w:t xml:space="preserve"> e de fortalecimento da confiança pública nas instituições democráticas.</w:t>
      </w:r>
      <w:r w:rsidR="00AD6DA0">
        <w:rPr>
          <w:rFonts w:ascii="Arial" w:hAnsi="Arial" w:cs="Arial"/>
        </w:rPr>
        <w:t xml:space="preserve"> </w:t>
      </w:r>
      <w:r w:rsidR="00AF58A6" w:rsidRPr="004F5A51">
        <w:rPr>
          <w:rFonts w:ascii="Arial" w:hAnsi="Arial" w:cs="Arial"/>
          <w:bCs/>
          <w:color w:val="000000" w:themeColor="text1"/>
        </w:rPr>
        <w:t>C</w:t>
      </w:r>
      <w:r w:rsidRPr="004F5A51">
        <w:rPr>
          <w:rFonts w:ascii="Arial" w:hAnsi="Arial" w:cs="Arial"/>
          <w:bCs/>
          <w:color w:val="000000" w:themeColor="text1"/>
        </w:rPr>
        <w:t>onclui</w:t>
      </w:r>
      <w:r w:rsidR="00AF58A6" w:rsidRPr="004F5A51">
        <w:rPr>
          <w:rFonts w:ascii="Arial" w:hAnsi="Arial" w:cs="Arial"/>
          <w:bCs/>
          <w:color w:val="000000" w:themeColor="text1"/>
        </w:rPr>
        <w:t>u-se</w:t>
      </w:r>
      <w:r w:rsidRPr="00AF58A6">
        <w:rPr>
          <w:rFonts w:ascii="Arial" w:hAnsi="Arial" w:cs="Arial"/>
          <w:bCs/>
        </w:rPr>
        <w:t xml:space="preserve"> que, apesar dos avanços, a prestação de contas enfrenta desafios na fiscalização e na aplicação de punições. Para alcançar maior transparência e confiança pública, recomenda-se aprimorar os mecanismos de auditoria e rever a distribuição dos recursos </w:t>
      </w:r>
      <w:r w:rsidR="004F5A51" w:rsidRPr="00AF58A6">
        <w:rPr>
          <w:rFonts w:ascii="Arial" w:hAnsi="Arial" w:cs="Arial"/>
          <w:bCs/>
        </w:rPr>
        <w:t>eleitorais</w:t>
      </w:r>
      <w:r w:rsidR="004F5A51">
        <w:rPr>
          <w:rFonts w:ascii="Arial" w:hAnsi="Arial" w:cs="Arial"/>
          <w:bCs/>
        </w:rPr>
        <w:t xml:space="preserve">. </w:t>
      </w:r>
      <w:r w:rsidR="004F5A51" w:rsidRPr="004F5A51">
        <w:rPr>
          <w:rFonts w:ascii="Arial" w:hAnsi="Arial" w:cs="Arial"/>
          <w:bCs/>
        </w:rPr>
        <w:t>Observou-se que a contabilidade eleitoral, quando devidamente implementada, pode transformar a relação entre partidos e sociedade, contribuindo para um processo democrático mais justo e transparente. Esse avanço requer o comprometimento das instituições e a participação ativa dos cidadãos, fomentando um ciclo contínuo de aprimoramento e engajamento cívico.</w:t>
      </w:r>
    </w:p>
    <w:p w14:paraId="397C24CF" w14:textId="1C49F668" w:rsidR="00830283" w:rsidRPr="004F5A51" w:rsidRDefault="007919EB">
      <w:pPr>
        <w:spacing w:before="240"/>
        <w:rPr>
          <w:color w:val="000000" w:themeColor="text1"/>
        </w:rPr>
      </w:pPr>
      <w:r w:rsidRPr="004F5A51">
        <w:rPr>
          <w:rFonts w:ascii="Arial" w:hAnsi="Arial" w:cs="Arial"/>
          <w:b/>
          <w:color w:val="000000" w:themeColor="text1"/>
        </w:rPr>
        <w:t>Palavras-chave:</w:t>
      </w:r>
      <w:r w:rsidRPr="004F5A51">
        <w:rPr>
          <w:rFonts w:ascii="Arial" w:hAnsi="Arial" w:cs="Arial"/>
          <w:bCs/>
          <w:color w:val="000000" w:themeColor="text1"/>
        </w:rPr>
        <w:t xml:space="preserve"> Contabilidade eleitoral; Transparência; Prestação de contas; </w:t>
      </w:r>
      <w:r w:rsidR="004F5A51" w:rsidRPr="004F5A51">
        <w:rPr>
          <w:rFonts w:ascii="Arial" w:hAnsi="Arial" w:cs="Arial"/>
          <w:bCs/>
          <w:color w:val="000000" w:themeColor="text1"/>
        </w:rPr>
        <w:t xml:space="preserve">Partidos políticos; Ética; Legislação; Confiança </w:t>
      </w:r>
      <w:r w:rsidR="00AD1879" w:rsidRPr="004F5A51">
        <w:rPr>
          <w:rFonts w:ascii="Arial" w:hAnsi="Arial" w:cs="Arial"/>
          <w:bCs/>
          <w:color w:val="000000" w:themeColor="text1"/>
        </w:rPr>
        <w:t>Pública</w:t>
      </w:r>
      <w:r w:rsidR="004F5A51" w:rsidRPr="004F5A51">
        <w:rPr>
          <w:rFonts w:ascii="Arial" w:hAnsi="Arial" w:cs="Arial"/>
          <w:bCs/>
          <w:color w:val="000000" w:themeColor="text1"/>
        </w:rPr>
        <w:t>.</w:t>
      </w:r>
    </w:p>
    <w:p w14:paraId="3F94C787" w14:textId="3960442D" w:rsidR="00830283" w:rsidRDefault="007919EB">
      <w:pPr>
        <w:pageBreakBefore/>
        <w:spacing w:before="240"/>
      </w:pPr>
      <w:r>
        <w:rPr>
          <w:rFonts w:ascii="Arial" w:hAnsi="Arial" w:cs="Arial"/>
          <w:b/>
          <w:bCs/>
        </w:rPr>
        <w:lastRenderedPageBreak/>
        <w:t>1. Introdução</w:t>
      </w:r>
      <w:r>
        <w:rPr>
          <w:rFonts w:ascii="Arial" w:hAnsi="Arial" w:cs="Arial"/>
        </w:rPr>
        <w:t xml:space="preserve"> </w:t>
      </w:r>
      <w:r w:rsidR="001A6943">
        <w:rPr>
          <w:rFonts w:ascii="Arial" w:hAnsi="Arial" w:cs="Arial"/>
        </w:rPr>
        <w:t xml:space="preserve">                                                                                                             </w:t>
      </w:r>
    </w:p>
    <w:p w14:paraId="49B74A01" w14:textId="7F894C25" w:rsidR="00830283" w:rsidRPr="00FB6943" w:rsidRDefault="007919EB" w:rsidP="00D82EC6">
      <w:pPr>
        <w:spacing w:line="360" w:lineRule="auto"/>
        <w:ind w:firstLine="709"/>
        <w:rPr>
          <w:rFonts w:ascii="Arial" w:hAnsi="Arial" w:cs="Arial"/>
          <w:color w:val="7030A0"/>
        </w:rPr>
      </w:pPr>
      <w:r>
        <w:rPr>
          <w:rFonts w:ascii="Arial" w:hAnsi="Arial" w:cs="Arial"/>
        </w:rPr>
        <w:t xml:space="preserve">A contabilidade eleitoral </w:t>
      </w:r>
      <w:r w:rsidR="00514005" w:rsidRPr="00CF5A35">
        <w:rPr>
          <w:rFonts w:ascii="Arial" w:hAnsi="Arial" w:cs="Arial"/>
        </w:rPr>
        <w:t>representa</w:t>
      </w:r>
      <w:r w:rsidRPr="00CF5A35">
        <w:rPr>
          <w:rFonts w:ascii="Arial" w:hAnsi="Arial" w:cs="Arial"/>
        </w:rPr>
        <w:t xml:space="preserve"> um aspecto fundamental </w:t>
      </w:r>
      <w:r w:rsidR="000E09B6" w:rsidRPr="00CF5A35">
        <w:rPr>
          <w:rFonts w:ascii="Arial" w:hAnsi="Arial" w:cs="Arial"/>
        </w:rPr>
        <w:t>para o processo democrático</w:t>
      </w:r>
      <w:r w:rsidRPr="00CF5A35">
        <w:rPr>
          <w:rFonts w:ascii="Arial" w:hAnsi="Arial" w:cs="Arial"/>
        </w:rPr>
        <w:t xml:space="preserve">, pois visa garantir transparência, responsabilidade e integridade nas </w:t>
      </w:r>
      <w:r>
        <w:rPr>
          <w:rFonts w:ascii="Arial" w:hAnsi="Arial" w:cs="Arial"/>
        </w:rPr>
        <w:t>prestações de contas financeiras dos partidos políticos. A regulamentação do financiamento eleitoral busca prevenir influências indevidas nas eleições, promover a igualdade entre candidatos e permitir o escrutínio público das práticas finan</w:t>
      </w:r>
      <w:r w:rsidR="00D82EC6">
        <w:rPr>
          <w:rFonts w:ascii="Arial" w:hAnsi="Arial" w:cs="Arial"/>
        </w:rPr>
        <w:t xml:space="preserve">ceiras nas campanhas políticas, </w:t>
      </w:r>
      <w:r w:rsidR="00CE2535">
        <w:rPr>
          <w:rFonts w:ascii="Arial" w:hAnsi="Arial" w:cs="Arial"/>
        </w:rPr>
        <w:t xml:space="preserve">“[...] </w:t>
      </w:r>
      <w:r w:rsidRPr="00CF5A35">
        <w:rPr>
          <w:rFonts w:ascii="Arial" w:hAnsi="Arial" w:cs="Arial"/>
        </w:rPr>
        <w:t>o direito eleitoral desempenha um papel crucial na definição do arcabouço para a transparência eleitoral, estabelecendo requisitos para as divulgações financeiras que mantêm a confiança pública</w:t>
      </w:r>
      <w:r w:rsidR="00D82EC6" w:rsidRPr="00CF5A35">
        <w:rPr>
          <w:rFonts w:ascii="Arial" w:hAnsi="Arial" w:cs="Arial"/>
        </w:rPr>
        <w:t xml:space="preserve"> (GOMES, </w:t>
      </w:r>
      <w:r w:rsidR="00D82EC6" w:rsidRPr="00E25B20">
        <w:rPr>
          <w:rFonts w:ascii="Arial" w:hAnsi="Arial" w:cs="Arial"/>
        </w:rPr>
        <w:t xml:space="preserve">2017, </w:t>
      </w:r>
      <w:r w:rsidR="00337874">
        <w:rPr>
          <w:rFonts w:ascii="Arial" w:hAnsi="Arial" w:cs="Arial"/>
        </w:rPr>
        <w:t>p</w:t>
      </w:r>
      <w:r w:rsidR="00E25B20" w:rsidRPr="00E25B20">
        <w:rPr>
          <w:rFonts w:ascii="Arial" w:hAnsi="Arial" w:cs="Arial"/>
        </w:rPr>
        <w:t xml:space="preserve"> 17</w:t>
      </w:r>
      <w:r w:rsidR="00D82EC6" w:rsidRPr="00E25B20">
        <w:rPr>
          <w:rFonts w:ascii="Arial" w:hAnsi="Arial" w:cs="Arial"/>
        </w:rPr>
        <w:t>).</w:t>
      </w:r>
    </w:p>
    <w:p w14:paraId="179ED88A" w14:textId="77777777" w:rsidR="00830283" w:rsidRDefault="007919EB">
      <w:pPr>
        <w:spacing w:line="360" w:lineRule="auto"/>
        <w:ind w:firstLine="709"/>
        <w:rPr>
          <w:rFonts w:ascii="Arial" w:hAnsi="Arial" w:cs="Arial"/>
        </w:rPr>
      </w:pPr>
      <w:r>
        <w:rPr>
          <w:rFonts w:ascii="Arial" w:hAnsi="Arial" w:cs="Arial"/>
        </w:rPr>
        <w:t xml:space="preserve">Essas regulamentações exigem que os partidos políticos relatem sistematicamente receitas e despesas, fornecendo, assim, um registro claro para a supervisão pública e institucional. No Brasil, a prestação de contas eleitorais é regida por um conjunto de leis e resoluções que buscam garantir a transparência. A mais significativa dessas é a Lei das Eleições (Lei n. 9.504/1997), que define diretrizes para o financiamento e o gasto de campanha. Além disso, o </w:t>
      </w:r>
      <w:r w:rsidRPr="00BC6D9D">
        <w:rPr>
          <w:rFonts w:ascii="Arial" w:hAnsi="Arial" w:cs="Arial"/>
        </w:rPr>
        <w:t>Tribunal Superior Eleitoral</w:t>
      </w:r>
      <w:r>
        <w:rPr>
          <w:rFonts w:ascii="Arial" w:hAnsi="Arial" w:cs="Arial"/>
        </w:rPr>
        <w:t xml:space="preserve"> </w:t>
      </w:r>
      <w:r w:rsidRPr="00CF5A35">
        <w:rPr>
          <w:rFonts w:ascii="Arial" w:hAnsi="Arial" w:cs="Arial"/>
        </w:rPr>
        <w:t>(TSE)</w:t>
      </w:r>
      <w:r>
        <w:rPr>
          <w:rFonts w:ascii="Arial" w:hAnsi="Arial" w:cs="Arial"/>
        </w:rPr>
        <w:t xml:space="preserve"> emitiu a Resolução 23.607 em 2019, que estabelece as regras para a gestão de fundos, despesas e prestação de contas dos partidos políticos (BRASIL, 1997; BRASIL, 2019). </w:t>
      </w:r>
    </w:p>
    <w:p w14:paraId="43E5E73F" w14:textId="77777777" w:rsidR="00830283" w:rsidRDefault="007919EB">
      <w:pPr>
        <w:spacing w:line="360" w:lineRule="auto"/>
        <w:ind w:firstLine="709"/>
        <w:rPr>
          <w:rFonts w:ascii="Arial" w:hAnsi="Arial" w:cs="Arial"/>
        </w:rPr>
      </w:pPr>
      <w:r w:rsidRPr="00D82EC6">
        <w:rPr>
          <w:rFonts w:ascii="Arial" w:hAnsi="Arial" w:cs="Arial"/>
        </w:rPr>
        <w:t>Esse arcabouço legal</w:t>
      </w:r>
      <w:r>
        <w:rPr>
          <w:rFonts w:ascii="Arial" w:hAnsi="Arial" w:cs="Arial"/>
        </w:rPr>
        <w:t xml:space="preserve"> é uma resposta à necessidade de transparência, visando reduzir os riscos de corrupção e promover a equidade entre as entidades políticas concorrentes. Com a implementação dessas leis, o TSE busca assegurar que as atividades financeiras relacionadas às campanhas eleitorais estejam em conformidade com os padrões éticos e legais. </w:t>
      </w:r>
    </w:p>
    <w:p w14:paraId="65E52FCE" w14:textId="0F9854BF" w:rsidR="00830283" w:rsidRPr="00E5350F" w:rsidRDefault="007919EB">
      <w:pPr>
        <w:spacing w:line="360" w:lineRule="auto"/>
        <w:ind w:firstLine="709"/>
        <w:rPr>
          <w:rFonts w:ascii="Arial" w:hAnsi="Arial" w:cs="Arial"/>
          <w:color w:val="7030A0"/>
          <w:u w:val="single"/>
        </w:rPr>
      </w:pPr>
      <w:r>
        <w:rPr>
          <w:rFonts w:ascii="Arial" w:hAnsi="Arial" w:cs="Arial"/>
        </w:rPr>
        <w:t xml:space="preserve">A regulamentação do financiamento político não é importante apenas para a conformidade legal dos partidos políticos, mas também contribui para a responsabilidade social. </w:t>
      </w:r>
      <w:r w:rsidRPr="009B65D7">
        <w:rPr>
          <w:rFonts w:ascii="Arial" w:hAnsi="Arial" w:cs="Arial"/>
          <w:color w:val="000000" w:themeColor="text1"/>
        </w:rPr>
        <w:t>Müller</w:t>
      </w:r>
      <w:r w:rsidRPr="009B65D7">
        <w:rPr>
          <w:rFonts w:ascii="Arial" w:hAnsi="Arial" w:cs="Arial"/>
        </w:rPr>
        <w:t xml:space="preserve"> (2022) enfatiza que as práticas contábeis no financiamento eleitoral podem servir como instrumentos de </w:t>
      </w:r>
      <w:r w:rsidR="00402A66" w:rsidRPr="009B65D7">
        <w:rPr>
          <w:rFonts w:ascii="Arial" w:hAnsi="Arial" w:cs="Arial"/>
        </w:rPr>
        <w:t>controle</w:t>
      </w:r>
      <w:r w:rsidR="00402A66">
        <w:rPr>
          <w:rFonts w:ascii="Arial" w:hAnsi="Arial" w:cs="Arial"/>
        </w:rPr>
        <w:t xml:space="preserve"> das informações para sociedade</w:t>
      </w:r>
      <w:r w:rsidRPr="009B65D7">
        <w:rPr>
          <w:rFonts w:ascii="Arial" w:hAnsi="Arial" w:cs="Arial"/>
        </w:rPr>
        <w:t>, reforçando a necessidade de transparência e equidade nas campanhas políticas.</w:t>
      </w:r>
      <w:r w:rsidRPr="00E5350F">
        <w:rPr>
          <w:rFonts w:ascii="Arial" w:hAnsi="Arial" w:cs="Arial"/>
          <w:u w:val="single"/>
        </w:rPr>
        <w:t xml:space="preserve"> </w:t>
      </w:r>
    </w:p>
    <w:p w14:paraId="1EDAEBD3" w14:textId="2894D669" w:rsidR="002A5200" w:rsidRDefault="007919EB">
      <w:pPr>
        <w:spacing w:line="360" w:lineRule="auto"/>
        <w:ind w:firstLine="709"/>
        <w:rPr>
          <w:rFonts w:ascii="Arial" w:hAnsi="Arial" w:cs="Arial"/>
        </w:rPr>
      </w:pPr>
      <w:r>
        <w:rPr>
          <w:rFonts w:ascii="Arial" w:hAnsi="Arial" w:cs="Arial"/>
        </w:rPr>
        <w:t xml:space="preserve">Ao exigir transparência financeira, essas regulamentações permitem que os cidadãos monitorem e avaliem as práticas financeiras dos atores políticos, o que é essencial para manter </w:t>
      </w:r>
      <w:r w:rsidR="00C22F2C" w:rsidRPr="009B65D7">
        <w:rPr>
          <w:rFonts w:ascii="Arial" w:hAnsi="Arial" w:cs="Arial"/>
          <w:color w:val="000000" w:themeColor="text1"/>
        </w:rPr>
        <w:t>o</w:t>
      </w:r>
      <w:r>
        <w:rPr>
          <w:rFonts w:ascii="Arial" w:hAnsi="Arial" w:cs="Arial"/>
        </w:rPr>
        <w:t xml:space="preserve"> sistema democrático</w:t>
      </w:r>
      <w:r w:rsidR="00C22F2C">
        <w:rPr>
          <w:rFonts w:ascii="Arial" w:hAnsi="Arial" w:cs="Arial"/>
        </w:rPr>
        <w:t>,</w:t>
      </w:r>
      <w:r>
        <w:rPr>
          <w:rFonts w:ascii="Arial" w:hAnsi="Arial" w:cs="Arial"/>
        </w:rPr>
        <w:t xml:space="preserve"> onde o poder emana do povo. O acesso público aos dados financeiros permite uma tomada de decisão informada, pois os </w:t>
      </w:r>
      <w:r>
        <w:rPr>
          <w:rFonts w:ascii="Arial" w:hAnsi="Arial" w:cs="Arial"/>
        </w:rPr>
        <w:lastRenderedPageBreak/>
        <w:t xml:space="preserve">cidadãos podem </w:t>
      </w:r>
      <w:r w:rsidRPr="009B65D7">
        <w:rPr>
          <w:rFonts w:ascii="Arial" w:hAnsi="Arial" w:cs="Arial"/>
          <w:color w:val="000000" w:themeColor="text1"/>
        </w:rPr>
        <w:t>escrutinar</w:t>
      </w:r>
      <w:r>
        <w:rPr>
          <w:rFonts w:ascii="Arial" w:hAnsi="Arial" w:cs="Arial"/>
        </w:rPr>
        <w:t xml:space="preserve"> as práticas financeiras e os compromissos de seus representantes políticos (</w:t>
      </w:r>
      <w:r w:rsidR="00CF5A35">
        <w:rPr>
          <w:rFonts w:ascii="Arial" w:hAnsi="Arial" w:cs="Arial"/>
        </w:rPr>
        <w:t>MÜLLER</w:t>
      </w:r>
      <w:r>
        <w:rPr>
          <w:rFonts w:ascii="Arial" w:hAnsi="Arial" w:cs="Arial"/>
        </w:rPr>
        <w:t>, 2022).</w:t>
      </w:r>
      <w:r w:rsidR="002A5200">
        <w:rPr>
          <w:rFonts w:ascii="Arial" w:hAnsi="Arial" w:cs="Arial"/>
        </w:rPr>
        <w:t xml:space="preserve">                                                                                                                          </w:t>
      </w:r>
    </w:p>
    <w:p w14:paraId="3F81608D" w14:textId="0E09890A" w:rsidR="00830283" w:rsidRDefault="007919EB">
      <w:pPr>
        <w:spacing w:line="360" w:lineRule="auto"/>
        <w:ind w:firstLine="709"/>
        <w:rPr>
          <w:rFonts w:ascii="Arial" w:hAnsi="Arial" w:cs="Arial"/>
        </w:rPr>
      </w:pPr>
      <w:r>
        <w:rPr>
          <w:rFonts w:ascii="Arial" w:hAnsi="Arial" w:cs="Arial"/>
        </w:rPr>
        <w:t xml:space="preserve"> Além da conformidade legal, a contabilidade eleitoral também aborda questões éticas no financiamento de campanhas, destacando o papel dos profissionais de contabilidade política. Como apontado por Albuquerque e de Melo (2019), os profissionais de contabilidade envolvidos no financiamento eleitoral desempenham um papel crítico em garantir que as atividades financeiras estejam alinhadas aos requisitos estabelecidos pelo TSE. </w:t>
      </w:r>
    </w:p>
    <w:p w14:paraId="6161D836" w14:textId="77777777" w:rsidR="00830283" w:rsidRDefault="007919EB">
      <w:pPr>
        <w:spacing w:line="360" w:lineRule="auto"/>
        <w:ind w:firstLine="709"/>
        <w:rPr>
          <w:rFonts w:ascii="Arial" w:hAnsi="Arial" w:cs="Arial"/>
        </w:rPr>
      </w:pPr>
      <w:r>
        <w:rPr>
          <w:rFonts w:ascii="Arial" w:hAnsi="Arial" w:cs="Arial"/>
        </w:rPr>
        <w:t>Esses profissionais são responsáveis pela manutenção da precisão e transparência das divulgações financeiras, apoiando assim a credibilidade do processo político. Albuquerque e de Melo</w:t>
      </w:r>
      <w:r w:rsidR="00025890">
        <w:rPr>
          <w:rFonts w:ascii="Arial" w:hAnsi="Arial" w:cs="Arial"/>
        </w:rPr>
        <w:t xml:space="preserve"> </w:t>
      </w:r>
      <w:r w:rsidR="00025890" w:rsidRPr="009B65D7">
        <w:rPr>
          <w:rFonts w:ascii="Arial" w:hAnsi="Arial" w:cs="Arial"/>
          <w:color w:val="000000" w:themeColor="text1"/>
        </w:rPr>
        <w:t>(2019)</w:t>
      </w:r>
      <w:r>
        <w:rPr>
          <w:rFonts w:ascii="Arial" w:hAnsi="Arial" w:cs="Arial"/>
        </w:rPr>
        <w:t xml:space="preserve"> argumentam que contadores na área eleitoral devem navegar por requisitos regulatórios complexos enquanto mantêm padrões éticos, o que reforça a confiança do público no processo eleitoral</w:t>
      </w:r>
      <w:r w:rsidR="00E862F7">
        <w:rPr>
          <w:rFonts w:ascii="Arial" w:hAnsi="Arial" w:cs="Arial"/>
        </w:rPr>
        <w:t xml:space="preserve">. </w:t>
      </w:r>
      <w:r>
        <w:rPr>
          <w:rFonts w:ascii="Arial" w:hAnsi="Arial" w:cs="Arial"/>
        </w:rPr>
        <w:t xml:space="preserve"> </w:t>
      </w:r>
    </w:p>
    <w:p w14:paraId="01B08B67" w14:textId="77777777" w:rsidR="00A56DC6" w:rsidRDefault="007919EB">
      <w:pPr>
        <w:spacing w:line="360" w:lineRule="auto"/>
        <w:ind w:firstLine="709"/>
        <w:rPr>
          <w:rFonts w:ascii="Arial" w:hAnsi="Arial" w:cs="Arial"/>
        </w:rPr>
      </w:pPr>
      <w:r>
        <w:rPr>
          <w:rFonts w:ascii="Arial" w:hAnsi="Arial" w:cs="Arial"/>
        </w:rPr>
        <w:t xml:space="preserve">A questão da transparência no financiamento de campanhas é ainda mais complexa devido aos desafios de alocação </w:t>
      </w:r>
      <w:r w:rsidRPr="009B65D7">
        <w:rPr>
          <w:rFonts w:ascii="Arial" w:hAnsi="Arial" w:cs="Arial"/>
        </w:rPr>
        <w:t>equitativa</w:t>
      </w:r>
      <w:r>
        <w:rPr>
          <w:rFonts w:ascii="Arial" w:hAnsi="Arial" w:cs="Arial"/>
        </w:rPr>
        <w:t xml:space="preserve"> de recursos. Segundo Ribeiro et al. (2024), um problema comum na contabilidade eleitoral é a disparidade nos recursos financeiros disponíveis para diferentes partidos políticos, o que pode comprometer a justiça das eleições. Partidos e candidatos mais ricos frequentemente têm maior acesso a fundos de campanha, permitindo-lhes alcançar um público maior e exercer maior influência sobre o eleitorado. Ribeiro </w:t>
      </w:r>
      <w:r w:rsidR="00A56DC6">
        <w:rPr>
          <w:rFonts w:ascii="Arial" w:hAnsi="Arial" w:cs="Arial"/>
        </w:rPr>
        <w:t>et al. (2024)</w:t>
      </w:r>
      <w:r>
        <w:rPr>
          <w:rFonts w:ascii="Arial" w:hAnsi="Arial" w:cs="Arial"/>
        </w:rPr>
        <w:t xml:space="preserve"> sugerem que o aumento da transparência na prestação de contas financeiras pode mitigar esse desequilíbrio, proporcionando visibilidade pública sobre as fontes e o uso dos fundos de campanha, promovendo, assim, um campo de atuação mais equilibrado</w:t>
      </w:r>
      <w:r w:rsidR="00A56DC6">
        <w:rPr>
          <w:rFonts w:ascii="Arial" w:hAnsi="Arial" w:cs="Arial"/>
        </w:rPr>
        <w:t>.</w:t>
      </w:r>
    </w:p>
    <w:p w14:paraId="01171B37" w14:textId="67389152" w:rsidR="00830283" w:rsidRDefault="009B65D7" w:rsidP="009B65D7">
      <w:pPr>
        <w:spacing w:line="360" w:lineRule="auto"/>
        <w:ind w:firstLine="709"/>
        <w:rPr>
          <w:rFonts w:ascii="Arial" w:hAnsi="Arial" w:cs="Arial"/>
        </w:rPr>
      </w:pPr>
      <w:r>
        <w:rPr>
          <w:rFonts w:ascii="Arial" w:hAnsi="Arial" w:cs="Arial"/>
        </w:rPr>
        <w:t xml:space="preserve">Dessa forma, o objetivo deste estudo é analisar a contabilidade eleitoral, com ênfase na transparência e na equidade no processo de prestação de contas dos partidos políticos no Brasil. </w:t>
      </w:r>
      <w:r w:rsidR="007919EB">
        <w:rPr>
          <w:rFonts w:ascii="Arial" w:hAnsi="Arial" w:cs="Arial"/>
        </w:rPr>
        <w:t xml:space="preserve">Ao longo do trabalho, serão exploradas as regulamentações vigentes, os desafios enfrentados pelos profissionais contábeis e as práticas adotadas para promover um ambiente eleitoral mais justo e acessível a todos os candidatos. </w:t>
      </w:r>
      <w:r w:rsidRPr="009B65D7">
        <w:rPr>
          <w:rFonts w:ascii="Arial" w:hAnsi="Arial" w:cs="Arial"/>
        </w:rPr>
        <w:t xml:space="preserve">Levanta-se a dúvida sobre a eficácia da contabilidade eleitoral como instrumento de </w:t>
      </w:r>
      <w:r w:rsidR="00402A66" w:rsidRPr="009B65D7">
        <w:rPr>
          <w:rFonts w:ascii="Arial" w:hAnsi="Arial" w:cs="Arial"/>
        </w:rPr>
        <w:t>controle</w:t>
      </w:r>
      <w:r w:rsidR="00402A66">
        <w:rPr>
          <w:rFonts w:ascii="Arial" w:hAnsi="Arial" w:cs="Arial"/>
        </w:rPr>
        <w:t xml:space="preserve"> das informações para sociedade</w:t>
      </w:r>
      <w:r w:rsidR="00402A66" w:rsidRPr="009B65D7">
        <w:rPr>
          <w:rFonts w:ascii="Arial" w:hAnsi="Arial" w:cs="Arial"/>
        </w:rPr>
        <w:t xml:space="preserve"> </w:t>
      </w:r>
      <w:r w:rsidRPr="009B65D7">
        <w:rPr>
          <w:rFonts w:ascii="Arial" w:hAnsi="Arial" w:cs="Arial"/>
        </w:rPr>
        <w:t>e de fortalecimento da confiança pública nas instituições democráticas.</w:t>
      </w:r>
    </w:p>
    <w:p w14:paraId="002BECA8" w14:textId="77777777" w:rsidR="003337AB" w:rsidRPr="009B65D7" w:rsidRDefault="003337AB" w:rsidP="009B65D7">
      <w:pPr>
        <w:spacing w:line="360" w:lineRule="auto"/>
        <w:ind w:firstLine="709"/>
        <w:rPr>
          <w:rFonts w:ascii="Arial" w:hAnsi="Arial" w:cs="Arial"/>
        </w:rPr>
      </w:pPr>
      <w:bookmarkStart w:id="0" w:name="_GoBack"/>
      <w:bookmarkEnd w:id="0"/>
    </w:p>
    <w:p w14:paraId="6E7BB5D0" w14:textId="77777777" w:rsidR="00830283" w:rsidRDefault="007919EB">
      <w:pPr>
        <w:pStyle w:val="Ttulo1"/>
        <w:rPr>
          <w:rFonts w:ascii="Arial" w:hAnsi="Arial" w:cs="Arial"/>
          <w:sz w:val="24"/>
          <w:szCs w:val="24"/>
        </w:rPr>
      </w:pPr>
      <w:r>
        <w:rPr>
          <w:rFonts w:ascii="Arial" w:hAnsi="Arial" w:cs="Arial"/>
          <w:sz w:val="24"/>
          <w:szCs w:val="24"/>
        </w:rPr>
        <w:lastRenderedPageBreak/>
        <w:t>2. Metodologia</w:t>
      </w:r>
    </w:p>
    <w:p w14:paraId="1AFAEC8B" w14:textId="77777777" w:rsidR="00830283" w:rsidRDefault="00830283"/>
    <w:p w14:paraId="0112FB65" w14:textId="5455FFDB" w:rsidR="00E345F4" w:rsidRDefault="007919EB" w:rsidP="00EA3992">
      <w:pPr>
        <w:spacing w:line="360" w:lineRule="auto"/>
        <w:ind w:firstLine="709"/>
        <w:rPr>
          <w:rFonts w:ascii="Arial" w:hAnsi="Arial" w:cs="Arial"/>
        </w:rPr>
      </w:pPr>
      <w:r>
        <w:rPr>
          <w:rFonts w:ascii="Arial" w:hAnsi="Arial" w:cs="Arial"/>
        </w:rPr>
        <w:t xml:space="preserve">A pesquisa foi conduzida por meio de uma revisão bibliográfica, que consiste na análise de estudos, artigos e demais fontes relevantes já publicados sobre o tema </w:t>
      </w:r>
      <w:r w:rsidR="00E345F4">
        <w:rPr>
          <w:rFonts w:ascii="Arial" w:hAnsi="Arial" w:cs="Arial"/>
        </w:rPr>
        <w:t xml:space="preserve">                                                                                                                                   </w:t>
      </w:r>
    </w:p>
    <w:p w14:paraId="275158CE" w14:textId="068D9828" w:rsidR="00830283" w:rsidRDefault="007919EB" w:rsidP="00E345F4">
      <w:pPr>
        <w:spacing w:line="360" w:lineRule="auto"/>
        <w:rPr>
          <w:rFonts w:ascii="Arial" w:hAnsi="Arial" w:cs="Arial"/>
        </w:rPr>
      </w:pPr>
      <w:r>
        <w:rPr>
          <w:rFonts w:ascii="Arial" w:hAnsi="Arial" w:cs="Arial"/>
        </w:rPr>
        <w:t>contabilidade eleitoral e transparência na prestação de contas dos partidos políticos. Esse método é amplamente utilizado nas ciências sociais e jurídicas por permitir uma compreensão aprofundada do conhecimento acumulado e identificar lacunas, tendências e abordagens diversas dentro do tema. Conforme Albuquerque e de Melo (2019), a revisão bibliográfica facilita a exploração dos marcos legais e teóricos, proporcionando uma visão integrada e fundamentada sobre o estado atual da contabilidade eleitoral.</w:t>
      </w:r>
    </w:p>
    <w:p w14:paraId="76C8952C" w14:textId="77777777" w:rsidR="00830283" w:rsidRDefault="007919EB">
      <w:pPr>
        <w:spacing w:line="360" w:lineRule="auto"/>
        <w:ind w:firstLine="709"/>
        <w:rPr>
          <w:rFonts w:ascii="Arial" w:hAnsi="Arial" w:cs="Arial"/>
        </w:rPr>
      </w:pPr>
      <w:r>
        <w:rPr>
          <w:rFonts w:ascii="Arial" w:hAnsi="Arial" w:cs="Arial"/>
        </w:rPr>
        <w:t>A revisão bibliográfica é caracterizada pela coleta sistemática de informações em diversas fontes, incluindo livros, artigos científicos, teses e publicações institucionais, como as resoluções e leis emitidas pelo Tribunal Superior Eleitoral (TSE) e outras regulamentações brasileiras. Essa técnica possibilita reunir e comparar informações de autores reconhecidos na área, como Gomes (2017, 2023), Vasconcelos (2022) e Müller (2022), promovendo um entendimento mais completo e crítico sobre os desafios e as práticas de transparência financeira nas campanhas eleitorais. Além disso, ao analisar diferentes perspectivas, a revisão bibliográfica permite avaliar como a regulamentação e as práticas contábeis evoluíram ao longo do tempo e os impactos dessas mudanças na transparência eleitoral.</w:t>
      </w:r>
    </w:p>
    <w:p w14:paraId="080FBDFC" w14:textId="77777777" w:rsidR="00830283" w:rsidRDefault="007919EB">
      <w:pPr>
        <w:spacing w:line="360" w:lineRule="auto"/>
        <w:ind w:firstLine="709"/>
        <w:rPr>
          <w:rFonts w:ascii="Arial" w:hAnsi="Arial" w:cs="Arial"/>
        </w:rPr>
      </w:pPr>
      <w:r>
        <w:rPr>
          <w:rFonts w:ascii="Arial" w:hAnsi="Arial" w:cs="Arial"/>
        </w:rPr>
        <w:t xml:space="preserve">Um dos principais objetivos da revisão bibliográfica é sintetizar e organizar as informações de forma a facilitar a compreensão e a interpretação do tema pesquisado. Ao agrupar as contribuições de diversos autores, esta metodologia permite estruturar o trabalho com base em evidências consolidadas e discutir o conteúdo de maneira coesa e fundamentada. </w:t>
      </w:r>
    </w:p>
    <w:p w14:paraId="5EF82FE8" w14:textId="77777777" w:rsidR="00830283" w:rsidRDefault="007919EB">
      <w:pPr>
        <w:spacing w:line="360" w:lineRule="auto"/>
        <w:ind w:firstLine="709"/>
        <w:rPr>
          <w:rFonts w:ascii="Arial" w:hAnsi="Arial" w:cs="Arial"/>
        </w:rPr>
      </w:pPr>
      <w:r>
        <w:rPr>
          <w:rFonts w:ascii="Arial" w:hAnsi="Arial" w:cs="Arial"/>
        </w:rPr>
        <w:t>A escolha da revisão bibliográfica para esta pesquisa justifica-se pela abrangência e profundidade que proporciona, sem a necessidade de coleta de dados primários. Diferentemente de pesquisas empíricas, que requerem entrevistas, questionários ou experimentos, a revisão bibliográfica permite que o pesquisador acesse informações disponíveis publicamente e realize uma análise detalhada com base nas fontes existentes. Essa abordagem é especialmente útil para o estudo da contabilidade eleitoral, dado que há um extenso acervo de normas, resoluções e publicações acadêmicas que oferecem subsídios para a compreensão do tema.</w:t>
      </w:r>
    </w:p>
    <w:p w14:paraId="73D8FB8B" w14:textId="00D6534C" w:rsidR="00E345F4" w:rsidRDefault="007919EB" w:rsidP="00EA3992">
      <w:pPr>
        <w:spacing w:line="360" w:lineRule="auto"/>
        <w:ind w:firstLine="709"/>
        <w:rPr>
          <w:rFonts w:ascii="Arial" w:hAnsi="Arial" w:cs="Arial"/>
        </w:rPr>
      </w:pPr>
      <w:r>
        <w:rPr>
          <w:rFonts w:ascii="Arial" w:hAnsi="Arial" w:cs="Arial"/>
        </w:rPr>
        <w:lastRenderedPageBreak/>
        <w:t xml:space="preserve">Para garantir a qualidade e a relevância da revisão, os materiais foram selecionados com base em sua atualidade, credibilidade e pertinência ao tema. Foram priorizadas fontes publicadas nos últimos cinco anos, além de documentos legais e </w:t>
      </w:r>
      <w:r w:rsidR="00E345F4">
        <w:rPr>
          <w:rFonts w:ascii="Arial" w:hAnsi="Arial" w:cs="Arial"/>
        </w:rPr>
        <w:t xml:space="preserve">                                                                                                                                    </w:t>
      </w:r>
    </w:p>
    <w:p w14:paraId="7252BC6F" w14:textId="0D4D91A4" w:rsidR="00830283" w:rsidRDefault="007919EB" w:rsidP="00E345F4">
      <w:pPr>
        <w:spacing w:line="360" w:lineRule="auto"/>
        <w:rPr>
          <w:rFonts w:ascii="Arial" w:hAnsi="Arial" w:cs="Arial"/>
        </w:rPr>
      </w:pPr>
      <w:r>
        <w:rPr>
          <w:rFonts w:ascii="Arial" w:hAnsi="Arial" w:cs="Arial"/>
        </w:rPr>
        <w:t>normativos de acesso público, como a Lei n. 9.504/1997 e a Resolução TSE n. 23.607/2019 (BRASIL, 1997; BRASIL, 2019). Esses materiais fornecem uma base sólida e atualizada para a análise das práticas de contabilidade eleitoral no Brasil, alinhando-se ao propósito de investigar as regulamentações e os desafios na prestação de contas dos partidos políticos.</w:t>
      </w:r>
    </w:p>
    <w:p w14:paraId="6B13D067" w14:textId="77777777" w:rsidR="00830283" w:rsidRDefault="007919EB">
      <w:pPr>
        <w:spacing w:line="360" w:lineRule="auto"/>
        <w:ind w:firstLine="709"/>
        <w:rPr>
          <w:rFonts w:ascii="Arial" w:hAnsi="Arial" w:cs="Arial"/>
        </w:rPr>
      </w:pPr>
      <w:r>
        <w:rPr>
          <w:rFonts w:ascii="Arial" w:hAnsi="Arial" w:cs="Arial"/>
        </w:rPr>
        <w:t>Por fim, a metodologia de revisão bibliográfica permite não apenas compilar e analisar as contribuições dos autores, mas também estabelecer um diálogo entre eles, contrastando abordagens e identificando convergências e divergências. Esse processo contribui para uma análise crítica e fundamentada da contabilidade eleitoral e suas implicações para a transparência e a equidade nas eleições, oferecendo um panorama detalhado sobre o tema e suas complexidades.</w:t>
      </w:r>
    </w:p>
    <w:p w14:paraId="722EF6C7" w14:textId="77777777" w:rsidR="0020371C" w:rsidRDefault="0020371C">
      <w:pPr>
        <w:spacing w:line="360" w:lineRule="auto"/>
        <w:ind w:firstLine="709"/>
        <w:rPr>
          <w:rFonts w:ascii="Arial" w:hAnsi="Arial" w:cs="Arial"/>
        </w:rPr>
      </w:pPr>
    </w:p>
    <w:p w14:paraId="0EBE17C6" w14:textId="77777777" w:rsidR="00830283" w:rsidRDefault="007919EB">
      <w:pPr>
        <w:pStyle w:val="Ttulo1"/>
        <w:spacing w:after="0"/>
      </w:pPr>
      <w:r>
        <w:rPr>
          <w:rFonts w:ascii="Arial" w:hAnsi="Arial" w:cs="Arial"/>
          <w:sz w:val="24"/>
          <w:szCs w:val="24"/>
        </w:rPr>
        <w:t>3. Referencial Teórico</w:t>
      </w:r>
    </w:p>
    <w:p w14:paraId="2DA2B490" w14:textId="323586D4" w:rsidR="00830283" w:rsidRDefault="00830283">
      <w:pPr>
        <w:spacing w:line="360" w:lineRule="auto"/>
        <w:ind w:firstLine="709"/>
        <w:rPr>
          <w:rFonts w:ascii="Arial" w:hAnsi="Arial" w:cs="Arial"/>
        </w:rPr>
      </w:pPr>
    </w:p>
    <w:p w14:paraId="4A824031" w14:textId="0C0678B8" w:rsidR="00981ACC" w:rsidRPr="00981ACC" w:rsidRDefault="00981ACC">
      <w:pPr>
        <w:spacing w:line="360" w:lineRule="auto"/>
        <w:ind w:firstLine="709"/>
        <w:rPr>
          <w:rFonts w:ascii="Arial" w:hAnsi="Arial" w:cs="Arial"/>
          <w:b/>
          <w:bCs/>
        </w:rPr>
      </w:pPr>
      <w:r w:rsidRPr="00981ACC">
        <w:rPr>
          <w:rFonts w:ascii="Arial" w:hAnsi="Arial" w:cs="Arial"/>
          <w:b/>
          <w:bCs/>
        </w:rPr>
        <w:t>3.1 Contabilidade Eleitoral</w:t>
      </w:r>
    </w:p>
    <w:p w14:paraId="55F5C38A" w14:textId="77777777" w:rsidR="00830283" w:rsidRDefault="007919EB">
      <w:pPr>
        <w:spacing w:line="360" w:lineRule="auto"/>
        <w:ind w:firstLine="709"/>
        <w:rPr>
          <w:rFonts w:ascii="Arial" w:hAnsi="Arial" w:cs="Arial"/>
        </w:rPr>
      </w:pPr>
      <w:r>
        <w:rPr>
          <w:rFonts w:ascii="Arial" w:hAnsi="Arial" w:cs="Arial"/>
        </w:rPr>
        <w:t xml:space="preserve">A contabilidade eleitoral é um ramo específico da contabilidade pública, voltado para o controle, análise e divulgação das movimentações financeiras realizadas em campanhas políticas. Sua principal função é garantir a transparência e a responsabilidade no uso de recursos públicos e privados por candidatos e partidos políticos. Segundo </w:t>
      </w:r>
      <w:r w:rsidRPr="00015B9D">
        <w:rPr>
          <w:rFonts w:ascii="Arial" w:hAnsi="Arial" w:cs="Arial"/>
        </w:rPr>
        <w:t>Gomes (</w:t>
      </w:r>
      <w:r>
        <w:rPr>
          <w:rFonts w:ascii="Arial" w:hAnsi="Arial" w:cs="Arial"/>
        </w:rPr>
        <w:t>2017), a contabilidade eleitoral é essencial para manter a integridade do processo eleitoral, evitando o uso indevido de fundos e proporcionando ao eleitor uma visão clara de como são financiadas as campanhas políticas. Por meio da prestação de contas, a contabilidade eleitoral busca assegurar que as regras de financiamento sejam cumpridas e que os recursos sejam aplicados de forma justa e legal, contribuindo assim para a legitimidade das eleições.</w:t>
      </w:r>
    </w:p>
    <w:p w14:paraId="505B6D0F" w14:textId="1B564E2A" w:rsidR="00830283" w:rsidRDefault="007919EB" w:rsidP="00981ACC">
      <w:pPr>
        <w:spacing w:line="360" w:lineRule="auto"/>
        <w:ind w:firstLine="709"/>
        <w:rPr>
          <w:rFonts w:ascii="Arial" w:hAnsi="Arial" w:cs="Arial"/>
        </w:rPr>
      </w:pPr>
      <w:r>
        <w:rPr>
          <w:rFonts w:ascii="Arial" w:hAnsi="Arial" w:cs="Arial"/>
        </w:rPr>
        <w:t xml:space="preserve">O processo de prestação de contas eleitorais envolve a elaboração de relatórios detalhados de receitas e despesas, que devem ser apresentados ao Tribunal Superior Eleitoral (TSE) no caso de eleições nacionais e estaduais, e aos tribunais regionais eleitorais para as eleições municipais. Conforme Vasconcelos (2022), esses relatórios são essenciais para que as autoridades possam fiscalizar e </w:t>
      </w:r>
      <w:r>
        <w:rPr>
          <w:rFonts w:ascii="Arial" w:hAnsi="Arial" w:cs="Arial"/>
        </w:rPr>
        <w:lastRenderedPageBreak/>
        <w:t xml:space="preserve">auditar as campanhas, garantindo que não haja abuso de poder econômico ou uso de recursos ilícitos. A importância desse processo está na possibilidade de identificar e </w:t>
      </w:r>
      <w:r w:rsidR="00E345F4">
        <w:rPr>
          <w:rFonts w:ascii="Arial" w:hAnsi="Arial" w:cs="Arial"/>
        </w:rPr>
        <w:t xml:space="preserve">                                                                                                                               </w:t>
      </w:r>
      <w:r>
        <w:rPr>
          <w:rFonts w:ascii="Arial" w:hAnsi="Arial" w:cs="Arial"/>
        </w:rPr>
        <w:t>corrigir eventuais irregularidades antes que elas influenciem os resultados das eleições, promovendo assim uma disputa mais equilibrada entre os candidatos.</w:t>
      </w:r>
    </w:p>
    <w:p w14:paraId="5E73AFD0" w14:textId="1F16665D" w:rsidR="00830283" w:rsidRDefault="007919EB">
      <w:pPr>
        <w:spacing w:line="360" w:lineRule="auto"/>
        <w:ind w:firstLine="709"/>
        <w:rPr>
          <w:rFonts w:ascii="Arial" w:hAnsi="Arial" w:cs="Arial"/>
        </w:rPr>
      </w:pPr>
      <w:r>
        <w:rPr>
          <w:rFonts w:ascii="Arial" w:hAnsi="Arial" w:cs="Arial"/>
        </w:rPr>
        <w:t>A legislação brasileira dispõe de uma série de normas para a prestação de contas, como a Lei das Eleições (Lei n. 9.504/1997) e a Resolução TSE n. 23.607/2019, que regulamentam o financiamento de campanhas e determinam os critérios para a arrecadação e gasto dos recursos pelos partidos e candidatos (BRASIL, 1997; BRASIL, 2019). Essas normas são fundamentais para assegurar a transparência e a lisura do processo eleitoral, uma vez que exigem que todos os recursos utilizados em campanha sejam devidamente declarados e justificados. Ao tornar obrigatória a prestação de contas, a legislação visa reduzir o espaço para a corrupção e o uso inadequado dos recursos, além de promover uma relação mais próxima e responsável entre partidos e eleitores.</w:t>
      </w:r>
    </w:p>
    <w:p w14:paraId="3961B515" w14:textId="0ABDFDEC" w:rsidR="00981ACC" w:rsidRPr="00981ACC" w:rsidRDefault="00981ACC">
      <w:pPr>
        <w:spacing w:line="360" w:lineRule="auto"/>
        <w:ind w:firstLine="709"/>
        <w:rPr>
          <w:rFonts w:ascii="Arial" w:hAnsi="Arial" w:cs="Arial"/>
          <w:b/>
          <w:bCs/>
        </w:rPr>
      </w:pPr>
      <w:r w:rsidRPr="00981ACC">
        <w:rPr>
          <w:rFonts w:ascii="Arial" w:hAnsi="Arial" w:cs="Arial"/>
          <w:b/>
          <w:bCs/>
        </w:rPr>
        <w:t>3.2 Fundo Eleitoral</w:t>
      </w:r>
    </w:p>
    <w:p w14:paraId="172CB6D3" w14:textId="77777777" w:rsidR="00587D81" w:rsidRDefault="007919EB">
      <w:pPr>
        <w:spacing w:line="360" w:lineRule="auto"/>
        <w:ind w:firstLine="709"/>
        <w:rPr>
          <w:rFonts w:ascii="Arial" w:hAnsi="Arial" w:cs="Arial"/>
        </w:rPr>
      </w:pPr>
      <w:r>
        <w:rPr>
          <w:rFonts w:ascii="Arial" w:hAnsi="Arial" w:cs="Arial"/>
        </w:rPr>
        <w:t xml:space="preserve">Um dos principais mecanismos de financiamento das campanhas políticas no Brasil é o Fundo Especial de Financiamento de Campanha, conhecido como Fundo Eleitoral. Criado pela Lei n. 13.487/2017, esse fundo é destinado a cobrir as despesas das campanhas eleitorais, substituindo em parte as doações empresariais, que foram proibidas em 2015. </w:t>
      </w:r>
    </w:p>
    <w:p w14:paraId="296E8496" w14:textId="77777777" w:rsidR="00830283" w:rsidRDefault="007919EB">
      <w:pPr>
        <w:spacing w:line="360" w:lineRule="auto"/>
        <w:ind w:firstLine="709"/>
        <w:rPr>
          <w:rFonts w:ascii="Arial" w:hAnsi="Arial" w:cs="Arial"/>
        </w:rPr>
      </w:pPr>
      <w:r>
        <w:rPr>
          <w:rFonts w:ascii="Arial" w:hAnsi="Arial" w:cs="Arial"/>
        </w:rPr>
        <w:t>O Fundo Eleitoral é alimentado por recursos do Tesouro Nacional e distribuído aos partidos políticos conforme critérios estabelecidos pela lei, como o desempenho nas últimas eleições e a representatividade no Congresso Nacional. Segundo Müller (2022), o Fundo Eleitoral busca garantir que todos os candidatos, independentemente de seu poder econômico, tenham condições de competir em igualdade de condições.</w:t>
      </w:r>
    </w:p>
    <w:p w14:paraId="6C1DB41C" w14:textId="4BA294E6" w:rsidR="00E345F4" w:rsidRDefault="007919EB" w:rsidP="00981ACC">
      <w:pPr>
        <w:spacing w:line="360" w:lineRule="auto"/>
        <w:ind w:firstLine="709"/>
        <w:rPr>
          <w:rFonts w:ascii="Arial" w:hAnsi="Arial" w:cs="Arial"/>
        </w:rPr>
      </w:pPr>
      <w:r>
        <w:rPr>
          <w:rFonts w:ascii="Arial" w:hAnsi="Arial" w:cs="Arial"/>
        </w:rPr>
        <w:t xml:space="preserve">O funcionamento do Fundo Eleitoral é regulamentado pelo TSE, que define os critérios de distribuição dos recursos entre os partidos e candidatos. Em âmbito federal, o TSE é responsável por estabelecer os valores que cada partido receberá, baseando-se em critérios como a proporção de votos obtidos e o número de representantes eleitos no Congresso. Para as eleições estaduais e municipais, os recursos do fundo são repassados aos diretórios estaduais e municipais, que, por sua vez, distribuem os valores entre os candidatos conforme o plano de campanha e as necessidades específicas de cada um. A aplicação desses critérios é importante para </w:t>
      </w:r>
      <w:r>
        <w:rPr>
          <w:rFonts w:ascii="Arial" w:hAnsi="Arial" w:cs="Arial"/>
        </w:rPr>
        <w:lastRenderedPageBreak/>
        <w:t xml:space="preserve">que os recursos sejam distribuídos de forma justa e proporcional ao tamanho e representatividade dos </w:t>
      </w:r>
      <w:r w:rsidRPr="00C41967">
        <w:rPr>
          <w:rFonts w:ascii="Arial" w:hAnsi="Arial" w:cs="Arial"/>
        </w:rPr>
        <w:t>partidos.</w:t>
      </w:r>
      <w:r w:rsidR="0047423E" w:rsidRPr="00C41967">
        <w:rPr>
          <w:rFonts w:ascii="Arial" w:hAnsi="Arial" w:cs="Arial"/>
        </w:rPr>
        <w:t xml:space="preserve"> (</w:t>
      </w:r>
      <w:r w:rsidR="00BB368E" w:rsidRPr="00C41967">
        <w:rPr>
          <w:rFonts w:ascii="Arial" w:hAnsi="Arial" w:cs="Arial"/>
        </w:rPr>
        <w:t>TRIBUNAL SUPERIOR ELEITORA</w:t>
      </w:r>
      <w:r w:rsidR="00BC6D9D" w:rsidRPr="00C41967">
        <w:rPr>
          <w:rFonts w:ascii="Arial" w:hAnsi="Arial" w:cs="Arial"/>
        </w:rPr>
        <w:t xml:space="preserve">L, </w:t>
      </w:r>
      <w:r w:rsidR="00BB368E" w:rsidRPr="00C41967">
        <w:rPr>
          <w:rFonts w:ascii="Arial" w:hAnsi="Arial" w:cs="Arial"/>
        </w:rPr>
        <w:t>2023</w:t>
      </w:r>
      <w:r w:rsidR="0047423E" w:rsidRPr="00C41967">
        <w:rPr>
          <w:rFonts w:ascii="Arial" w:hAnsi="Arial" w:cs="Arial"/>
        </w:rPr>
        <w:t>)</w:t>
      </w:r>
      <w:r w:rsidR="00E345F4">
        <w:rPr>
          <w:rFonts w:ascii="Arial" w:hAnsi="Arial" w:cs="Arial"/>
        </w:rPr>
        <w:t xml:space="preserve">                                                                                                                </w:t>
      </w:r>
    </w:p>
    <w:p w14:paraId="4D08DFEF" w14:textId="77B41E09" w:rsidR="00830283" w:rsidRDefault="007919EB">
      <w:pPr>
        <w:spacing w:line="360" w:lineRule="auto"/>
        <w:ind w:firstLine="709"/>
        <w:rPr>
          <w:rFonts w:ascii="Arial" w:hAnsi="Arial" w:cs="Arial"/>
        </w:rPr>
      </w:pPr>
      <w:r>
        <w:rPr>
          <w:rFonts w:ascii="Arial" w:hAnsi="Arial" w:cs="Arial"/>
        </w:rPr>
        <w:t>Cada candidato recebe uma quantia proporcional ao desempenho de seu partido nas eleições anteriores e ao cargo ao qual concorre. Os candidatos a presidente e governador recebem, em geral, uma parcela maior dos recursos, pois suas campanhas envolvem gastos mais elevados devido à abrangência territorial e ao alcance midiático necessário. Em contrapartida, candidatos a cargos legislativos, como deputado federal, estadual e vereadores, recebem valores menores, adequados às suas demandas de campanha. Gomes (2023) ressalta que essa distribuição busca equilibrar a competitividade entre os candidatos, evitando que apenas aqueles com maior poder econômico possam competir em pé de igualdade.</w:t>
      </w:r>
    </w:p>
    <w:p w14:paraId="6883BB99" w14:textId="26D66EDF" w:rsidR="00830283" w:rsidRDefault="007919EB">
      <w:pPr>
        <w:spacing w:line="360" w:lineRule="auto"/>
        <w:ind w:firstLine="709"/>
        <w:rPr>
          <w:rFonts w:ascii="Arial" w:hAnsi="Arial" w:cs="Arial"/>
        </w:rPr>
      </w:pPr>
      <w:r>
        <w:rPr>
          <w:rFonts w:ascii="Arial" w:hAnsi="Arial" w:cs="Arial"/>
        </w:rPr>
        <w:t>No âmbito municipal, a distribuição do Fundo Eleitoral é adaptada às especificidades locais, levando em consideração o número de eleitores e as características econômicas de cada município. As campanhas para prefeito e vereador, por exemplo, têm um custo menor em comparação às eleições estaduais e nacionais, o que reflete na quantia destinada a esses cargos. No entanto, é importante que os partidos façam um planejamento estratégico, alocando os recursos de forma eficiente para cobrir todas as despesas da campanha e maximizar a presença dos candidatos junto aos eleitores locais (</w:t>
      </w:r>
      <w:r w:rsidR="00015B9D">
        <w:rPr>
          <w:rFonts w:ascii="Arial" w:hAnsi="Arial" w:cs="Arial"/>
        </w:rPr>
        <w:t xml:space="preserve">VASCONCELOS, </w:t>
      </w:r>
      <w:r>
        <w:rPr>
          <w:rFonts w:ascii="Arial" w:hAnsi="Arial" w:cs="Arial"/>
        </w:rPr>
        <w:t>2022).</w:t>
      </w:r>
    </w:p>
    <w:p w14:paraId="20C0CC61" w14:textId="77777777" w:rsidR="00830283" w:rsidRDefault="007919EB">
      <w:pPr>
        <w:spacing w:line="360" w:lineRule="auto"/>
        <w:ind w:firstLine="709"/>
        <w:rPr>
          <w:rFonts w:ascii="Arial" w:hAnsi="Arial" w:cs="Arial"/>
        </w:rPr>
      </w:pPr>
      <w:r>
        <w:rPr>
          <w:rFonts w:ascii="Arial" w:hAnsi="Arial" w:cs="Arial"/>
        </w:rPr>
        <w:t>Para as eleições estaduais, os partidos costumam destinar uma parcela significativa dos recursos para as campanhas de governador e deputado estadual, que possuem um impacto direto na representatividade política das regiões no governo estadual. Os valores distribuídos aos candidatos estaduais variam conforme o número de eleitores e a extensão geográfica do estado, exigindo dos partidos uma administração cuidadosa do Fundo Eleitoral para garantir a visibilidade de todos os seus candidatos. Albuquerque e de Melo (2019) destacam que o planejamento e a prestação de contas nesses casos são essenciais para que as campanhas estaduais ocorram de maneira transparente e eficiente, sem desperdício de recursos.</w:t>
      </w:r>
    </w:p>
    <w:p w14:paraId="0F08A108" w14:textId="0E6CA65F" w:rsidR="00E345F4" w:rsidRDefault="007919EB" w:rsidP="00981ACC">
      <w:pPr>
        <w:spacing w:line="360" w:lineRule="auto"/>
        <w:ind w:firstLine="709"/>
        <w:rPr>
          <w:rFonts w:ascii="Arial" w:hAnsi="Arial" w:cs="Arial"/>
        </w:rPr>
      </w:pPr>
      <w:r>
        <w:rPr>
          <w:rFonts w:ascii="Arial" w:hAnsi="Arial" w:cs="Arial"/>
        </w:rPr>
        <w:t xml:space="preserve">Em âmbito nacional, a distribuição dos recursos do Fundo Eleitoral é ainda mais rigorosa e centralizada, dada a importância das campanhas presidenciais e das eleições para o Congresso Nacional. Os partidos priorizam as campanhas para presidente e senador, pois esses cargos têm grande impacto na formulação das políticas públicas e na governança do país. A gestão desses recursos é crucial, pois </w:t>
      </w:r>
      <w:r>
        <w:rPr>
          <w:rFonts w:ascii="Arial" w:hAnsi="Arial" w:cs="Arial"/>
        </w:rPr>
        <w:lastRenderedPageBreak/>
        <w:t xml:space="preserve">influencia diretamente a capacidade dos candidatos de alcançarem um número expressivo de eleitores e de promoverem suas plataformas em todo o território </w:t>
      </w:r>
      <w:r w:rsidR="00E345F4">
        <w:rPr>
          <w:rFonts w:ascii="Arial" w:hAnsi="Arial" w:cs="Arial"/>
        </w:rPr>
        <w:t xml:space="preserve">                                                                                                                           </w:t>
      </w:r>
    </w:p>
    <w:p w14:paraId="1F6D5904" w14:textId="7D2EFF64" w:rsidR="00830283" w:rsidRDefault="007919EB" w:rsidP="00E345F4">
      <w:pPr>
        <w:spacing w:line="360" w:lineRule="auto"/>
        <w:rPr>
          <w:rFonts w:ascii="Arial" w:hAnsi="Arial" w:cs="Arial"/>
        </w:rPr>
      </w:pPr>
      <w:r>
        <w:rPr>
          <w:rFonts w:ascii="Arial" w:hAnsi="Arial" w:cs="Arial"/>
        </w:rPr>
        <w:t>nacional. Müller (2022) observa que, na esfera federal, a transparência na prestação de contas é essencial para evitar abusos de poder econômico e garantir a igualdade de oportunidades entre os candidatos.</w:t>
      </w:r>
    </w:p>
    <w:p w14:paraId="40FCB5A3" w14:textId="6D718A4D" w:rsidR="00830283" w:rsidRDefault="007919EB">
      <w:pPr>
        <w:spacing w:line="360" w:lineRule="auto"/>
        <w:ind w:firstLine="709"/>
        <w:rPr>
          <w:rFonts w:ascii="Arial" w:hAnsi="Arial" w:cs="Arial"/>
        </w:rPr>
      </w:pPr>
      <w:r>
        <w:rPr>
          <w:rFonts w:ascii="Arial" w:hAnsi="Arial" w:cs="Arial"/>
        </w:rPr>
        <w:t>O Fundo Eleitoral é uma das principais fontes de financiamento das campanhas políticas, mas não é o único. Além dos recursos públicos, os partidos e candidatos também podem arrecadar doações de pessoas físicas, respeitando os limites e as restrições estabelecidas pela legislação. Desde a proibição das doações empresariais, as contribuições de pessoas físicas passaram a ter um papel relevante no financiamento eleitoral, exigindo dos partidos maior transparência e responsabilidade na prestação de contas. Ribeiro et al. (2024) afirmam que as doações de indivíduos ajudam a democratizar o financiamento eleitoral, ao permitir que os eleitores apoiem financeiramente os candidatos com os quais se identificam, promovendo um maior envolvimento da sociedade no processo político.</w:t>
      </w:r>
    </w:p>
    <w:p w14:paraId="37D394CC" w14:textId="385726F3" w:rsidR="00981ACC" w:rsidRPr="00981ACC" w:rsidRDefault="00981ACC">
      <w:pPr>
        <w:spacing w:line="360" w:lineRule="auto"/>
        <w:ind w:firstLine="709"/>
        <w:rPr>
          <w:rFonts w:ascii="Arial" w:hAnsi="Arial" w:cs="Arial"/>
          <w:b/>
          <w:bCs/>
        </w:rPr>
      </w:pPr>
      <w:r w:rsidRPr="00981ACC">
        <w:rPr>
          <w:rFonts w:ascii="Arial" w:hAnsi="Arial" w:cs="Arial"/>
          <w:b/>
          <w:bCs/>
        </w:rPr>
        <w:t xml:space="preserve">3.3 Prestação de </w:t>
      </w:r>
      <w:r w:rsidR="00AC36A3">
        <w:rPr>
          <w:rFonts w:ascii="Arial" w:hAnsi="Arial" w:cs="Arial"/>
          <w:b/>
          <w:bCs/>
        </w:rPr>
        <w:t>C</w:t>
      </w:r>
      <w:r w:rsidRPr="00981ACC">
        <w:rPr>
          <w:rFonts w:ascii="Arial" w:hAnsi="Arial" w:cs="Arial"/>
          <w:b/>
          <w:bCs/>
        </w:rPr>
        <w:t>ontas</w:t>
      </w:r>
    </w:p>
    <w:p w14:paraId="39D0F71F" w14:textId="77777777" w:rsidR="00830283" w:rsidRDefault="007919EB">
      <w:pPr>
        <w:spacing w:line="360" w:lineRule="auto"/>
        <w:ind w:firstLine="709"/>
        <w:rPr>
          <w:rFonts w:ascii="Arial" w:hAnsi="Arial" w:cs="Arial"/>
        </w:rPr>
      </w:pPr>
      <w:r>
        <w:rPr>
          <w:rFonts w:ascii="Arial" w:hAnsi="Arial" w:cs="Arial"/>
        </w:rPr>
        <w:t>A prestação de contas, nesse contexto, deve refletir não apenas os valores recebidos, mas também a origem dos recursos e a forma como foram aplicados. A legislação exige que todas as receitas sejam devidamente registradas e declaradas, e que as despesas sejam documentadas, garantindo a conformidade com as normas estabelecidas pelo TSE. Segundo Velloso e Agra (2023), a transparência no registro e na divulgação dessas informações é fundamental para que a sociedade acompanhe o uso dos recursos eleitorais e cobre responsabilidade dos partidos e candidatos.</w:t>
      </w:r>
    </w:p>
    <w:p w14:paraId="3DD5F16C" w14:textId="09D9BD0A" w:rsidR="00254302" w:rsidRPr="0047423E" w:rsidRDefault="007919EB" w:rsidP="00254302">
      <w:pPr>
        <w:spacing w:line="360" w:lineRule="auto"/>
        <w:ind w:firstLine="709"/>
        <w:rPr>
          <w:rFonts w:ascii="Arial" w:hAnsi="Arial" w:cs="Arial"/>
          <w:color w:val="7030A0"/>
        </w:rPr>
      </w:pPr>
      <w:r>
        <w:rPr>
          <w:rFonts w:ascii="Arial" w:hAnsi="Arial" w:cs="Arial"/>
        </w:rPr>
        <w:t xml:space="preserve">A plataforma de Divulgação de Candidaturas e Contas Eleitorais, criada pelo TSE, desempenha um papel importante na transparência do financiamento eleitoral, ao permitir que os cidadãos acessem as informações sobre as receitas e despesas de cada candidato (Divulgação de Candidaturas e Contas Eleitorais, 2023). Por meio dessa plataforma, o público pode verificar os valores arrecadados e gastos pelos candidatos, promovendo uma fiscalização coletiva que complementa o trabalho das instituições. Essa ferramenta é essencial para fortalecer a democracia, pois permite que o eleitor avalie o comportamento financeiro de seus representantes e decida seu voto com base em dados </w:t>
      </w:r>
      <w:r w:rsidRPr="00C41967">
        <w:rPr>
          <w:rFonts w:ascii="Arial" w:hAnsi="Arial" w:cs="Arial"/>
        </w:rPr>
        <w:t>concretos</w:t>
      </w:r>
      <w:r w:rsidR="00254302" w:rsidRPr="00C41967">
        <w:rPr>
          <w:rFonts w:ascii="Arial" w:hAnsi="Arial" w:cs="Arial"/>
        </w:rPr>
        <w:t>. (TRIBUNAL SUPERIOR ELEITORAL, 2023)</w:t>
      </w:r>
    </w:p>
    <w:p w14:paraId="20A52FFD" w14:textId="539B8EE1" w:rsidR="00830283" w:rsidRPr="00B83508" w:rsidRDefault="00830283">
      <w:pPr>
        <w:spacing w:line="360" w:lineRule="auto"/>
        <w:ind w:firstLine="709"/>
        <w:rPr>
          <w:rFonts w:ascii="Arial" w:hAnsi="Arial" w:cs="Arial"/>
          <w:color w:val="FF0000"/>
        </w:rPr>
      </w:pPr>
    </w:p>
    <w:p w14:paraId="7C2EBA93" w14:textId="328F1387" w:rsidR="00830283" w:rsidRPr="00C41967" w:rsidRDefault="00687A72" w:rsidP="00981ACC">
      <w:pPr>
        <w:spacing w:line="360" w:lineRule="auto"/>
        <w:ind w:firstLine="709"/>
        <w:rPr>
          <w:rFonts w:ascii="Arial" w:hAnsi="Arial" w:cs="Arial"/>
        </w:rPr>
      </w:pPr>
      <w:r w:rsidRPr="0042144A">
        <w:rPr>
          <w:rFonts w:ascii="Arial" w:hAnsi="Arial" w:cs="Arial"/>
        </w:rPr>
        <w:lastRenderedPageBreak/>
        <w:t>Conforme dados do site do TSE</w:t>
      </w:r>
      <w:r w:rsidR="008D0EE8" w:rsidRPr="0042144A">
        <w:rPr>
          <w:rFonts w:ascii="Arial" w:hAnsi="Arial" w:cs="Arial"/>
        </w:rPr>
        <w:t>,</w:t>
      </w:r>
      <w:r w:rsidR="007919EB" w:rsidRPr="0042144A">
        <w:rPr>
          <w:rFonts w:ascii="Arial" w:hAnsi="Arial" w:cs="Arial"/>
        </w:rPr>
        <w:t xml:space="preserve"> o </w:t>
      </w:r>
      <w:r w:rsidR="008D0EE8" w:rsidRPr="0042144A">
        <w:rPr>
          <w:rFonts w:ascii="Arial" w:hAnsi="Arial" w:cs="Arial"/>
        </w:rPr>
        <w:t xml:space="preserve">Congresso </w:t>
      </w:r>
      <w:r w:rsidR="008D0EE8" w:rsidRPr="0042144A">
        <w:rPr>
          <w:rFonts w:ascii="Arial" w:hAnsi="Arial" w:cs="Arial"/>
          <w:shd w:val="clear" w:color="auto" w:fill="FFFFFF"/>
        </w:rPr>
        <w:t>Nacional aprovou um valor recorde para o Fundo Eleitoral no financiamento das campanhas</w:t>
      </w:r>
      <w:r w:rsidR="008D0EE8" w:rsidRPr="0042144A">
        <w:rPr>
          <w:rFonts w:ascii="Arial" w:hAnsi="Arial" w:cs="Arial"/>
        </w:rPr>
        <w:t xml:space="preserve"> municipais de 2024, o valor de </w:t>
      </w:r>
      <w:r w:rsidR="008D0EE8" w:rsidRPr="0042144A">
        <w:rPr>
          <w:rFonts w:ascii="Arial" w:hAnsi="Arial" w:cs="Arial"/>
          <w:shd w:val="clear" w:color="auto" w:fill="FFFFFF"/>
        </w:rPr>
        <w:t>R$ 4,9 bilhões</w:t>
      </w:r>
      <w:r w:rsidR="00F8258E" w:rsidRPr="0042144A">
        <w:rPr>
          <w:rFonts w:ascii="Arial" w:hAnsi="Arial" w:cs="Arial"/>
          <w:shd w:val="clear" w:color="auto" w:fill="FFFFFF"/>
        </w:rPr>
        <w:t>, igual ao valor das eleições gerais/nacionais em 2022</w:t>
      </w:r>
      <w:r w:rsidR="008D0EE8" w:rsidRPr="0042144A">
        <w:rPr>
          <w:rFonts w:ascii="Arial" w:hAnsi="Arial" w:cs="Arial"/>
          <w:shd w:val="clear" w:color="auto" w:fill="FFFFFF"/>
        </w:rPr>
        <w:t>.</w:t>
      </w:r>
      <w:r w:rsidR="007919EB" w:rsidRPr="0042144A">
        <w:rPr>
          <w:rFonts w:ascii="Arial" w:hAnsi="Arial" w:cs="Arial"/>
        </w:rPr>
        <w:t xml:space="preserve"> A </w:t>
      </w:r>
      <w:r w:rsidR="00E345F4">
        <w:rPr>
          <w:rFonts w:ascii="Arial" w:hAnsi="Arial" w:cs="Arial"/>
        </w:rPr>
        <w:t xml:space="preserve">                                                                                                                              </w:t>
      </w:r>
      <w:r w:rsidR="007919EB" w:rsidRPr="0042144A">
        <w:rPr>
          <w:rFonts w:ascii="Arial" w:hAnsi="Arial" w:cs="Arial"/>
        </w:rPr>
        <w:t xml:space="preserve">análise crítica sobre a distribuição do Fundo Eleitoral revela algumas questões </w:t>
      </w:r>
      <w:r w:rsidR="007919EB">
        <w:rPr>
          <w:rFonts w:ascii="Arial" w:hAnsi="Arial" w:cs="Arial"/>
        </w:rPr>
        <w:t>preocupantes em relação à equidade e transparência na aplicação desses recursos. Com um montante de aproximadamente R$ 4,9 bilhões, as maiores fatias foram direcionadas para partidos de maior representatividade, como o PL, PT e União Brasil, que receberam, respectivamente, R$ 886,8 milhões, R$ 619,8 milhões e R$ 536,5 milhões. Essa distribuição segue critérios como a quantidade de representantes eleitos e o desempenho em eleições anteriores, mas levanta um debate sobre a concentração de recursos em partidos já estabelecidos</w:t>
      </w:r>
      <w:r w:rsidR="00C51812">
        <w:rPr>
          <w:rFonts w:ascii="Arial" w:hAnsi="Arial" w:cs="Arial"/>
        </w:rPr>
        <w:t xml:space="preserve"> </w:t>
      </w:r>
      <w:r w:rsidR="00254302" w:rsidRPr="00C41967">
        <w:rPr>
          <w:rFonts w:ascii="Arial" w:hAnsi="Arial" w:cs="Arial"/>
        </w:rPr>
        <w:t>(TRIBUNAL SUPERIOR ELEITORAL, 2024)</w:t>
      </w:r>
      <w:r w:rsidR="00A509D8" w:rsidRPr="00C41967">
        <w:rPr>
          <w:rFonts w:ascii="Arial" w:hAnsi="Arial" w:cs="Arial"/>
        </w:rPr>
        <w:t>.</w:t>
      </w:r>
    </w:p>
    <w:p w14:paraId="27B8860D" w14:textId="35ECE64E" w:rsidR="00830283" w:rsidRDefault="007919EB">
      <w:pPr>
        <w:spacing w:line="360" w:lineRule="auto"/>
        <w:ind w:firstLine="709"/>
        <w:rPr>
          <w:rFonts w:ascii="Arial" w:hAnsi="Arial" w:cs="Arial"/>
        </w:rPr>
      </w:pPr>
      <w:r w:rsidRPr="00C41967">
        <w:rPr>
          <w:rFonts w:ascii="Arial" w:hAnsi="Arial" w:cs="Arial"/>
        </w:rPr>
        <w:t>Essa concentração beneficia amplamente os grandes partidos</w:t>
      </w:r>
      <w:r>
        <w:rPr>
          <w:rFonts w:ascii="Arial" w:hAnsi="Arial" w:cs="Arial"/>
        </w:rPr>
        <w:t>, potencializando ainda mais seu poder de influência e dificultando a ascensão de novos partidos ou daqueles com menor representação. Embora o critério de distribuição busque refletir a representatividade, ele acaba reforçando o domínio dos grandes partidos, criando uma espécie de ciclo vicioso que limita a diversidade partidária. Em um sistema democrático, tal concentração pode reduzir a competitividade e a pluralidade política, uma vez que os partidos menores ou recém-criados, com recursos significativamente menores, enfrentam desafios desproporcionais para competir em igualdade de condições.</w:t>
      </w:r>
    </w:p>
    <w:p w14:paraId="5C4C0405" w14:textId="5D69FCD2" w:rsidR="00981ACC" w:rsidRPr="00981ACC" w:rsidRDefault="00981ACC">
      <w:pPr>
        <w:spacing w:line="360" w:lineRule="auto"/>
        <w:ind w:firstLine="709"/>
        <w:rPr>
          <w:rFonts w:ascii="Arial" w:hAnsi="Arial" w:cs="Arial"/>
          <w:b/>
          <w:bCs/>
        </w:rPr>
      </w:pPr>
      <w:r w:rsidRPr="00981ACC">
        <w:rPr>
          <w:rFonts w:ascii="Arial" w:hAnsi="Arial" w:cs="Arial"/>
          <w:b/>
          <w:bCs/>
        </w:rPr>
        <w:t xml:space="preserve">3.4 Transparência e </w:t>
      </w:r>
      <w:r w:rsidR="005B3FE5">
        <w:rPr>
          <w:rFonts w:ascii="Arial" w:hAnsi="Arial" w:cs="Arial"/>
          <w:b/>
          <w:bCs/>
        </w:rPr>
        <w:t>E</w:t>
      </w:r>
      <w:r w:rsidRPr="00981ACC">
        <w:rPr>
          <w:rFonts w:ascii="Arial" w:hAnsi="Arial" w:cs="Arial"/>
          <w:b/>
          <w:bCs/>
        </w:rPr>
        <w:t xml:space="preserve">quidade na </w:t>
      </w:r>
      <w:r w:rsidR="005B3FE5">
        <w:rPr>
          <w:rFonts w:ascii="Arial" w:hAnsi="Arial" w:cs="Arial"/>
          <w:b/>
          <w:bCs/>
        </w:rPr>
        <w:t>P</w:t>
      </w:r>
      <w:r w:rsidRPr="00981ACC">
        <w:rPr>
          <w:rFonts w:ascii="Arial" w:hAnsi="Arial" w:cs="Arial"/>
          <w:b/>
          <w:bCs/>
        </w:rPr>
        <w:t xml:space="preserve">restação de </w:t>
      </w:r>
      <w:r w:rsidR="005B3FE5">
        <w:rPr>
          <w:rFonts w:ascii="Arial" w:hAnsi="Arial" w:cs="Arial"/>
          <w:b/>
          <w:bCs/>
        </w:rPr>
        <w:t>C</w:t>
      </w:r>
      <w:r w:rsidRPr="00981ACC">
        <w:rPr>
          <w:rFonts w:ascii="Arial" w:hAnsi="Arial" w:cs="Arial"/>
          <w:b/>
          <w:bCs/>
        </w:rPr>
        <w:t>ontas</w:t>
      </w:r>
    </w:p>
    <w:p w14:paraId="6CFB62E2" w14:textId="77777777" w:rsidR="00830283" w:rsidRDefault="007919EB">
      <w:pPr>
        <w:spacing w:line="360" w:lineRule="auto"/>
        <w:ind w:firstLine="709"/>
        <w:rPr>
          <w:rFonts w:ascii="Arial" w:hAnsi="Arial" w:cs="Arial"/>
        </w:rPr>
      </w:pPr>
      <w:r>
        <w:rPr>
          <w:rFonts w:ascii="Arial" w:hAnsi="Arial" w:cs="Arial"/>
        </w:rPr>
        <w:t>Além disso, a destinação de recursos elevados para campanhas pode suscitar críticas sobre o uso de dinheiro público para financiar atividades eleitorais, especialmente em um cenário de desafios econômicos para o país. O fundo eleitoral de R$ 4,9 bilhões representa uma quantia substancial, que, para muitos, poderia ser redirecionada a outras áreas prioritárias, como saúde, educação ou infraestrutura. Esse ponto de vista alimenta o debate sobre a necessidade de revisar os valores e critérios do Fundo Eleitoral, considerando alternativas de financiamento que minimizem o impacto fiscal sem comprometer a competitividade eleitoral.</w:t>
      </w:r>
    </w:p>
    <w:p w14:paraId="72F05846" w14:textId="5BAA3B78" w:rsidR="00E345F4" w:rsidRDefault="007919EB" w:rsidP="00981ACC">
      <w:pPr>
        <w:spacing w:line="360" w:lineRule="auto"/>
        <w:ind w:firstLine="709"/>
        <w:rPr>
          <w:rFonts w:ascii="Arial" w:hAnsi="Arial" w:cs="Arial"/>
        </w:rPr>
      </w:pPr>
      <w:r>
        <w:rPr>
          <w:rFonts w:ascii="Arial" w:hAnsi="Arial" w:cs="Arial"/>
        </w:rPr>
        <w:t xml:space="preserve">Outro ponto importante é a eficiência na prestação de contas e no controle do uso desses recursos. A elevada quantia recebida pelos grandes partidos exige um sistema de auditoria robusto, que consiga identificar possíveis irregularidades, fraudes ou mau uso dos recursos. Embora o Tribunal Superior Eleitoral (TSE) exija relatórios </w:t>
      </w:r>
      <w:r>
        <w:rPr>
          <w:rFonts w:ascii="Arial" w:hAnsi="Arial" w:cs="Arial"/>
        </w:rPr>
        <w:lastRenderedPageBreak/>
        <w:t xml:space="preserve">detalhados de gastos, a complexidade e o volume de dados tornam o monitoramento um desafio. Caso não haja fiscalização rigorosa, existe o risco de que parte desse </w:t>
      </w:r>
      <w:r w:rsidR="00E345F4">
        <w:rPr>
          <w:rFonts w:ascii="Arial" w:hAnsi="Arial" w:cs="Arial"/>
        </w:rPr>
        <w:t xml:space="preserve">                                                                                                                               </w:t>
      </w:r>
    </w:p>
    <w:p w14:paraId="030D60DB" w14:textId="0675DEC8" w:rsidR="00830283" w:rsidRDefault="007919EB" w:rsidP="00E345F4">
      <w:pPr>
        <w:spacing w:line="360" w:lineRule="auto"/>
        <w:rPr>
          <w:rFonts w:ascii="Arial" w:hAnsi="Arial" w:cs="Arial"/>
        </w:rPr>
      </w:pPr>
      <w:r>
        <w:rPr>
          <w:rFonts w:ascii="Arial" w:hAnsi="Arial" w:cs="Arial"/>
        </w:rPr>
        <w:t>montante seja utilizada de forma inadequada, prejudicando a transparência do processo eleitoral.</w:t>
      </w:r>
    </w:p>
    <w:p w14:paraId="0194BBC6" w14:textId="77777777" w:rsidR="00EA3992" w:rsidRDefault="007919EB">
      <w:pPr>
        <w:spacing w:line="360" w:lineRule="auto"/>
        <w:ind w:firstLine="709"/>
        <w:rPr>
          <w:rFonts w:ascii="Arial" w:hAnsi="Arial" w:cs="Arial"/>
        </w:rPr>
      </w:pPr>
      <w:r>
        <w:rPr>
          <w:rFonts w:ascii="Arial" w:hAnsi="Arial" w:cs="Arial"/>
        </w:rPr>
        <w:t xml:space="preserve">Por fim, a disparidade entre os valores recebidos por partidos grandes e pequenos também pode influenciar as campanhas em níveis municipal e estadual. Partidos com menor representação recebem uma parcela muito pequena do fundo, o que compromete suas campanhas nas esferas locais, onde, muitas vezes, a competição é intensa. Sem recursos suficientes, esses partidos têm menos condições de promover seus candidatos e conquistar o apoio do eleitorado, reforçando o domínio dos partidos já estabelecidos. Isso torna o Fundo Eleitoral uma ferramenta de manutenção do status quo, ao invés de fomentar um ambiente político mais competitivo e diverso. </w:t>
      </w:r>
    </w:p>
    <w:p w14:paraId="334962A3" w14:textId="434D2517" w:rsidR="00830283" w:rsidRDefault="007919EB">
      <w:pPr>
        <w:spacing w:line="360" w:lineRule="auto"/>
        <w:ind w:firstLine="709"/>
        <w:rPr>
          <w:rFonts w:ascii="Arial" w:hAnsi="Arial" w:cs="Arial"/>
        </w:rPr>
      </w:pPr>
      <w:r>
        <w:rPr>
          <w:rFonts w:ascii="Arial" w:hAnsi="Arial" w:cs="Arial"/>
        </w:rPr>
        <w:t>​</w:t>
      </w:r>
      <w:r w:rsidR="00EA3992">
        <w:rPr>
          <w:rFonts w:ascii="Arial" w:hAnsi="Arial" w:cs="Arial"/>
        </w:rPr>
        <w:t>Segue abaixo gráfico da Distribuição de fundo eleitoral de 2024:</w:t>
      </w:r>
    </w:p>
    <w:p w14:paraId="2159E016" w14:textId="77777777" w:rsidR="007A5BB3" w:rsidRDefault="007A5BB3">
      <w:pPr>
        <w:spacing w:line="360" w:lineRule="auto"/>
        <w:ind w:firstLine="709"/>
        <w:rPr>
          <w:rFonts w:ascii="Arial" w:hAnsi="Arial" w:cs="Arial"/>
        </w:rPr>
      </w:pPr>
    </w:p>
    <w:p w14:paraId="0FF66072" w14:textId="77777777" w:rsidR="00830283" w:rsidRPr="007A5BB3" w:rsidRDefault="007919EB">
      <w:pPr>
        <w:spacing w:line="360" w:lineRule="auto"/>
        <w:ind w:firstLine="709"/>
        <w:rPr>
          <w:rFonts w:ascii="Arial" w:hAnsi="Arial" w:cs="Arial"/>
          <w:sz w:val="20"/>
          <w:szCs w:val="20"/>
        </w:rPr>
      </w:pPr>
      <w:r w:rsidRPr="007A5BB3">
        <w:rPr>
          <w:rFonts w:ascii="Arial" w:hAnsi="Arial" w:cs="Arial"/>
          <w:sz w:val="20"/>
          <w:szCs w:val="20"/>
        </w:rPr>
        <w:t xml:space="preserve">Gráfico 01 – </w:t>
      </w:r>
      <w:r w:rsidR="007A5BB3" w:rsidRPr="007A5BB3">
        <w:rPr>
          <w:rFonts w:ascii="Arial" w:hAnsi="Arial" w:cs="Arial"/>
          <w:sz w:val="20"/>
          <w:szCs w:val="20"/>
        </w:rPr>
        <w:t>Distribuição</w:t>
      </w:r>
      <w:r w:rsidRPr="007A5BB3">
        <w:rPr>
          <w:rFonts w:ascii="Arial" w:hAnsi="Arial" w:cs="Arial"/>
          <w:sz w:val="20"/>
          <w:szCs w:val="20"/>
        </w:rPr>
        <w:t xml:space="preserve"> do fundo ele</w:t>
      </w:r>
      <w:r w:rsidR="007A5BB3">
        <w:rPr>
          <w:rFonts w:ascii="Arial" w:hAnsi="Arial" w:cs="Arial"/>
          <w:sz w:val="20"/>
          <w:szCs w:val="20"/>
        </w:rPr>
        <w:t xml:space="preserve">itoral entre os partidos – 2024 </w:t>
      </w:r>
      <w:r w:rsidRPr="007A5BB3">
        <w:rPr>
          <w:rFonts w:ascii="Arial" w:hAnsi="Arial" w:cs="Arial"/>
          <w:sz w:val="20"/>
          <w:szCs w:val="20"/>
        </w:rPr>
        <w:t xml:space="preserve">(TSE) </w:t>
      </w:r>
    </w:p>
    <w:p w14:paraId="79DEAE95" w14:textId="77777777" w:rsidR="00830283" w:rsidRDefault="007919EB">
      <w:pPr>
        <w:spacing w:line="360" w:lineRule="auto"/>
      </w:pPr>
      <w:r>
        <w:rPr>
          <w:rFonts w:ascii="Arial" w:hAnsi="Arial" w:cs="Arial"/>
          <w:noProof/>
        </w:rPr>
        <w:drawing>
          <wp:inline distT="0" distB="0" distL="0" distR="0" wp14:anchorId="25953F4F" wp14:editId="69AA7617">
            <wp:extent cx="5760089" cy="3602992"/>
            <wp:effectExtent l="0" t="0" r="0" b="0"/>
            <wp:docPr id="3" name="Imagem 1" descr="Gráfico, Histograma&#10;&#10;Descrição gerada automaticame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760089" cy="3602992"/>
                    </a:xfrm>
                    <a:prstGeom prst="rect">
                      <a:avLst/>
                    </a:prstGeom>
                    <a:noFill/>
                    <a:ln>
                      <a:noFill/>
                      <a:prstDash/>
                    </a:ln>
                  </pic:spPr>
                </pic:pic>
              </a:graphicData>
            </a:graphic>
          </wp:inline>
        </w:drawing>
      </w:r>
    </w:p>
    <w:p w14:paraId="6EDC7AAB" w14:textId="77777777" w:rsidR="00830283" w:rsidRDefault="007919EB">
      <w:pPr>
        <w:spacing w:line="360" w:lineRule="auto"/>
        <w:jc w:val="center"/>
        <w:rPr>
          <w:rFonts w:ascii="Arial" w:hAnsi="Arial" w:cs="Arial"/>
          <w:sz w:val="20"/>
          <w:szCs w:val="20"/>
        </w:rPr>
      </w:pPr>
      <w:r w:rsidRPr="007A5BB3">
        <w:rPr>
          <w:rFonts w:ascii="Arial" w:hAnsi="Arial" w:cs="Arial"/>
          <w:sz w:val="20"/>
          <w:szCs w:val="20"/>
        </w:rPr>
        <w:t xml:space="preserve">FONTE: </w:t>
      </w:r>
      <w:r w:rsidR="00B777FD" w:rsidRPr="00A509D8">
        <w:rPr>
          <w:rFonts w:ascii="Arial" w:hAnsi="Arial" w:cs="Arial"/>
          <w:sz w:val="20"/>
          <w:szCs w:val="20"/>
        </w:rPr>
        <w:t>Elaborado pelos autores</w:t>
      </w:r>
      <w:r w:rsidRPr="00A509D8">
        <w:rPr>
          <w:rFonts w:ascii="Arial" w:hAnsi="Arial" w:cs="Arial"/>
          <w:sz w:val="20"/>
          <w:szCs w:val="20"/>
        </w:rPr>
        <w:t xml:space="preserve"> com base </w:t>
      </w:r>
      <w:r w:rsidRPr="007A5BB3">
        <w:rPr>
          <w:rFonts w:ascii="Arial" w:hAnsi="Arial" w:cs="Arial"/>
          <w:sz w:val="20"/>
          <w:szCs w:val="20"/>
        </w:rPr>
        <w:t>nos dados do TSE 2024.</w:t>
      </w:r>
    </w:p>
    <w:p w14:paraId="1B5AEBBB" w14:textId="77777777" w:rsidR="007A5BB3" w:rsidRPr="007A5BB3" w:rsidRDefault="007A5BB3">
      <w:pPr>
        <w:spacing w:line="360" w:lineRule="auto"/>
        <w:jc w:val="center"/>
        <w:rPr>
          <w:rFonts w:ascii="Arial" w:hAnsi="Arial" w:cs="Arial"/>
          <w:sz w:val="20"/>
          <w:szCs w:val="20"/>
        </w:rPr>
      </w:pPr>
    </w:p>
    <w:p w14:paraId="0A123749" w14:textId="36D2DF66" w:rsidR="00830283" w:rsidRDefault="007919EB" w:rsidP="00EA3992">
      <w:pPr>
        <w:spacing w:line="360" w:lineRule="auto"/>
        <w:ind w:firstLine="709"/>
        <w:rPr>
          <w:rFonts w:ascii="Arial" w:hAnsi="Arial" w:cs="Arial"/>
        </w:rPr>
      </w:pPr>
      <w:r>
        <w:rPr>
          <w:rFonts w:ascii="Arial" w:hAnsi="Arial" w:cs="Arial"/>
        </w:rPr>
        <w:t xml:space="preserve">Apesar do avanço na regulamentação e das ferramentas de transparência, a contabilidade eleitoral ainda enfrenta desafios, como a fiscalização limitada e a </w:t>
      </w:r>
      <w:r>
        <w:rPr>
          <w:rFonts w:ascii="Arial" w:hAnsi="Arial" w:cs="Arial"/>
        </w:rPr>
        <w:lastRenderedPageBreak/>
        <w:t xml:space="preserve">complexidade do sistema de financiamento. Vasconcelos (2022) aponta que a fiscalização das contas eleitorais depende da capacidade do TSE e dos tribunais </w:t>
      </w:r>
      <w:r w:rsidR="00E345F4">
        <w:rPr>
          <w:rFonts w:ascii="Arial" w:hAnsi="Arial" w:cs="Arial"/>
        </w:rPr>
        <w:t xml:space="preserve">                                                                                                                              </w:t>
      </w:r>
      <w:r>
        <w:rPr>
          <w:rFonts w:ascii="Arial" w:hAnsi="Arial" w:cs="Arial"/>
        </w:rPr>
        <w:t>regionais eleitorais de analisar um grande volume de informações em um curto período. Isso pode resultar em falhas na detecção de irregularidades, como omissões de receitas ou despesas fictícias, que comprometem a integridade do processo eleitoral.</w:t>
      </w:r>
    </w:p>
    <w:p w14:paraId="276C46E6" w14:textId="027E0C47" w:rsidR="00A509D8" w:rsidRDefault="007919EB" w:rsidP="00AC36A3">
      <w:pPr>
        <w:pStyle w:val="Ttulo1"/>
        <w:spacing w:after="0"/>
        <w:rPr>
          <w:rFonts w:ascii="Arial" w:hAnsi="Arial" w:cs="Arial"/>
        </w:rPr>
      </w:pPr>
      <w:r>
        <w:rPr>
          <w:rFonts w:ascii="Arial" w:hAnsi="Arial" w:cs="Arial"/>
          <w:sz w:val="24"/>
          <w:szCs w:val="24"/>
        </w:rPr>
        <w:t xml:space="preserve">4. Resultados e Discussão </w:t>
      </w:r>
    </w:p>
    <w:p w14:paraId="04F5D145" w14:textId="1711F838" w:rsidR="00830283" w:rsidRDefault="007919EB">
      <w:pPr>
        <w:spacing w:line="360" w:lineRule="auto"/>
        <w:ind w:firstLine="709"/>
        <w:rPr>
          <w:rFonts w:ascii="Arial" w:hAnsi="Arial" w:cs="Arial"/>
        </w:rPr>
      </w:pPr>
      <w:r>
        <w:rPr>
          <w:rFonts w:ascii="Arial" w:hAnsi="Arial" w:cs="Arial"/>
        </w:rPr>
        <w:t xml:space="preserve">A prestação de contas dos partidos políticos </w:t>
      </w:r>
      <w:r w:rsidR="00370978">
        <w:rPr>
          <w:rFonts w:ascii="Arial" w:hAnsi="Arial" w:cs="Arial"/>
        </w:rPr>
        <w:t>são um</w:t>
      </w:r>
      <w:r>
        <w:rPr>
          <w:rFonts w:ascii="Arial" w:hAnsi="Arial" w:cs="Arial"/>
        </w:rPr>
        <w:t xml:space="preserve"> dos principais mecanismos de controle e transparência </w:t>
      </w:r>
      <w:r w:rsidR="00370978">
        <w:rPr>
          <w:rFonts w:ascii="Arial" w:hAnsi="Arial" w:cs="Arial"/>
        </w:rPr>
        <w:t>quando se fala no</w:t>
      </w:r>
      <w:r>
        <w:rPr>
          <w:rFonts w:ascii="Arial" w:hAnsi="Arial" w:cs="Arial"/>
        </w:rPr>
        <w:t xml:space="preserve"> processo eleitoral brasileiro. Ela visa garantir que as movimentações financeiras realizadas durante as campanhas estejam em conformidade com a legislação e sejam acessíveis à sociedade. Segundo Gomes (2017), a transparência nas prestações de contas é um pilar essencial para manter a integridade do processo eleitoral, pois permite o escrutínio público das fontes de financiamento e dos gastos de campanha, além de minimizar o risco de abuso de poder econômico. Esse controle promove uma disputa mais equilibrada e aumenta a confiança dos eleitores na justiça e nos resultados eleitorais.</w:t>
      </w:r>
    </w:p>
    <w:p w14:paraId="6569F751" w14:textId="77777777" w:rsidR="00830283" w:rsidRPr="003043EF" w:rsidRDefault="007919EB">
      <w:pPr>
        <w:spacing w:line="360" w:lineRule="auto"/>
        <w:ind w:firstLine="709"/>
        <w:rPr>
          <w:rFonts w:ascii="Arial" w:hAnsi="Arial" w:cs="Arial"/>
        </w:rPr>
      </w:pPr>
      <w:r>
        <w:rPr>
          <w:rFonts w:ascii="Arial" w:hAnsi="Arial" w:cs="Arial"/>
        </w:rPr>
        <w:t xml:space="preserve">Müller (2022) acrescenta que a contabilidade eleitoral vai além do simples registro de receitas e despesas, pois se configura como uma ferramenta de controle social. Ela permite que a sociedade tenha acesso a informações detalhadas sobre a origem dos recursos que sustentam as campanhas políticas, o que reforça a </w:t>
      </w:r>
      <w:r w:rsidRPr="009315E2">
        <w:rPr>
          <w:rFonts w:ascii="Arial" w:hAnsi="Arial" w:cs="Arial"/>
          <w:i/>
        </w:rPr>
        <w:t>accountability</w:t>
      </w:r>
      <w:r w:rsidR="009315E2">
        <w:rPr>
          <w:rStyle w:val="Refdenotaderodap"/>
          <w:rFonts w:ascii="Arial" w:hAnsi="Arial" w:cs="Arial"/>
          <w:i/>
        </w:rPr>
        <w:footnoteReference w:id="1"/>
      </w:r>
      <w:r>
        <w:rPr>
          <w:rFonts w:ascii="Arial" w:hAnsi="Arial" w:cs="Arial"/>
        </w:rPr>
        <w:t xml:space="preserve"> dos partidos. </w:t>
      </w:r>
      <w:r w:rsidRPr="003043EF">
        <w:rPr>
          <w:rFonts w:ascii="Arial" w:hAnsi="Arial" w:cs="Arial"/>
        </w:rPr>
        <w:t xml:space="preserve">Müller </w:t>
      </w:r>
      <w:r w:rsidR="006A52DA" w:rsidRPr="003043EF">
        <w:rPr>
          <w:rFonts w:ascii="Arial" w:hAnsi="Arial" w:cs="Arial"/>
        </w:rPr>
        <w:t xml:space="preserve">(2022) </w:t>
      </w:r>
      <w:r w:rsidRPr="003043EF">
        <w:rPr>
          <w:rFonts w:ascii="Arial" w:hAnsi="Arial" w:cs="Arial"/>
        </w:rPr>
        <w:t>argumenta que a transparência efetiva nas prestações de contas é crucial para evitar a corrupção e garantir que os recursos utilizados pelos partidos sejam aplicados de forma ética e responsável, refletindo uma postura de comprometimento com a democracia.</w:t>
      </w:r>
    </w:p>
    <w:p w14:paraId="19C782E4" w14:textId="13692E66" w:rsidR="00E345F4" w:rsidRDefault="007919EB" w:rsidP="00D317AE">
      <w:pPr>
        <w:spacing w:line="360" w:lineRule="auto"/>
        <w:ind w:firstLine="709"/>
        <w:rPr>
          <w:rFonts w:ascii="Arial" w:hAnsi="Arial" w:cs="Arial"/>
        </w:rPr>
      </w:pPr>
      <w:r w:rsidRPr="003043EF">
        <w:rPr>
          <w:rFonts w:ascii="Arial" w:hAnsi="Arial" w:cs="Arial"/>
        </w:rPr>
        <w:t>Entretanto, Vasconcelos (2022) aponta que, apesar das regulamentações rígidas, a eficácia da prestação de contas ainda enfrenta desafios significativos. A fiscalização exercida pelo Tribunal Superior Eleitoral (TSE) depende da precisão e veracidade das informações fornecidas pelos partidos, mas muitas vezes faltam mecanismos robustos para verificar a autenticidade desses dados. Vasconcelos</w:t>
      </w:r>
      <w:r w:rsidR="0061353A" w:rsidRPr="003043EF">
        <w:rPr>
          <w:rFonts w:ascii="Arial" w:hAnsi="Arial" w:cs="Arial"/>
        </w:rPr>
        <w:t xml:space="preserve"> (2022)</w:t>
      </w:r>
      <w:r w:rsidRPr="003043EF">
        <w:rPr>
          <w:rFonts w:ascii="Arial" w:hAnsi="Arial" w:cs="Arial"/>
        </w:rPr>
        <w:t xml:space="preserve"> destaca que, embora a legislação exija relatórios detalhados, o TSE enfrenta limitações na análise de todas as contas devido </w:t>
      </w:r>
      <w:r>
        <w:rPr>
          <w:rFonts w:ascii="Arial" w:hAnsi="Arial" w:cs="Arial"/>
        </w:rPr>
        <w:t>ao elevado volume de documentos e</w:t>
      </w:r>
      <w:r w:rsidR="00D317AE">
        <w:rPr>
          <w:rFonts w:ascii="Arial" w:hAnsi="Arial" w:cs="Arial"/>
        </w:rPr>
        <w:t xml:space="preserve"> </w:t>
      </w:r>
      <w:r w:rsidR="00E345F4">
        <w:rPr>
          <w:rFonts w:ascii="Arial" w:hAnsi="Arial" w:cs="Arial"/>
        </w:rPr>
        <w:t xml:space="preserve">                                                                                                                                    </w:t>
      </w:r>
    </w:p>
    <w:p w14:paraId="2D41C18F" w14:textId="775F3029" w:rsidR="00830283" w:rsidRDefault="007919EB" w:rsidP="00E345F4">
      <w:pPr>
        <w:spacing w:line="360" w:lineRule="auto"/>
        <w:rPr>
          <w:rFonts w:ascii="Arial" w:hAnsi="Arial" w:cs="Arial"/>
        </w:rPr>
      </w:pPr>
      <w:r>
        <w:rPr>
          <w:rFonts w:ascii="Arial" w:hAnsi="Arial" w:cs="Arial"/>
        </w:rPr>
        <w:lastRenderedPageBreak/>
        <w:t>à complexidade dos processos, o que pode comprometer a detecção de irregularidades.</w:t>
      </w:r>
    </w:p>
    <w:p w14:paraId="4EAB4A57" w14:textId="77777777" w:rsidR="00830283" w:rsidRDefault="007919EB">
      <w:pPr>
        <w:spacing w:line="360" w:lineRule="auto"/>
        <w:ind w:firstLine="709"/>
        <w:rPr>
          <w:rFonts w:ascii="Arial" w:hAnsi="Arial" w:cs="Arial"/>
        </w:rPr>
      </w:pPr>
      <w:r>
        <w:rPr>
          <w:rFonts w:ascii="Arial" w:hAnsi="Arial" w:cs="Arial"/>
        </w:rPr>
        <w:t xml:space="preserve">De acordo com Ribeiro et al. (2024), uma questão crítica no processo de prestação de contas é a desigualdade na distribuição dos recursos entre os partidos. Partidos maiores, que recebem fatias substanciais do Fundo Eleitoral, têm condições de contratar equipes especializadas em contabilidade para garantir a conformidade com as exigências legais, enquanto partidos menores enfrentam dificuldades para cumprir os requisitos devido à falta de recursos. Ribeiro e </w:t>
      </w:r>
      <w:r w:rsidRPr="00656667">
        <w:rPr>
          <w:rFonts w:ascii="Arial" w:hAnsi="Arial" w:cs="Arial"/>
        </w:rPr>
        <w:t>colegas</w:t>
      </w:r>
      <w:r>
        <w:rPr>
          <w:rFonts w:ascii="Arial" w:hAnsi="Arial" w:cs="Arial"/>
        </w:rPr>
        <w:t xml:space="preserve"> </w:t>
      </w:r>
      <w:r w:rsidR="00AF3256">
        <w:rPr>
          <w:rFonts w:ascii="Arial" w:hAnsi="Arial" w:cs="Arial"/>
        </w:rPr>
        <w:t xml:space="preserve">(2024) </w:t>
      </w:r>
      <w:r>
        <w:rPr>
          <w:rFonts w:ascii="Arial" w:hAnsi="Arial" w:cs="Arial"/>
        </w:rPr>
        <w:t>argumentam que essa disparidade gera um desequilíbrio no processo eleitoral, pois partidos menores, que já possuem menor representatividade, enfrentam obstáculos adicionais para manter a transparência de suas contas.</w:t>
      </w:r>
    </w:p>
    <w:p w14:paraId="1C4FB8B6" w14:textId="77777777" w:rsidR="00830283" w:rsidRDefault="007919EB">
      <w:pPr>
        <w:spacing w:line="360" w:lineRule="auto"/>
        <w:ind w:firstLine="709"/>
        <w:rPr>
          <w:rFonts w:ascii="Arial" w:hAnsi="Arial" w:cs="Arial"/>
        </w:rPr>
      </w:pPr>
      <w:r>
        <w:rPr>
          <w:rFonts w:ascii="Arial" w:hAnsi="Arial" w:cs="Arial"/>
        </w:rPr>
        <w:t>Albuquerque e de Melo (2019) ressaltam a importância do papel dos profissionais de contabilidade na gestão dos recursos e na prestação de contas dos partidos. Segundo eles, os contadores especializados em contabilidade eleitoral têm uma responsabilidade crucial para garantir que os recursos sejam aplicados corretamente e que os relatórios estejam em conformidade com as normas do TSE. Albuquerque e de Melo</w:t>
      </w:r>
      <w:r w:rsidR="00BC48A0">
        <w:rPr>
          <w:rFonts w:ascii="Arial" w:hAnsi="Arial" w:cs="Arial"/>
        </w:rPr>
        <w:t xml:space="preserve"> (2019) </w:t>
      </w:r>
      <w:r>
        <w:rPr>
          <w:rFonts w:ascii="Arial" w:hAnsi="Arial" w:cs="Arial"/>
        </w:rPr>
        <w:t>defendem que a capacitação contínua desses profissionais é fundamental para assegurar a precisão dos dados financeiros e evitar penalizações decorrentes de erros ou omissões nas prestações de contas.</w:t>
      </w:r>
    </w:p>
    <w:p w14:paraId="396DCE12" w14:textId="77777777" w:rsidR="00830283" w:rsidRDefault="007919EB">
      <w:pPr>
        <w:spacing w:line="360" w:lineRule="auto"/>
        <w:ind w:firstLine="709"/>
        <w:rPr>
          <w:rFonts w:ascii="Arial" w:hAnsi="Arial" w:cs="Arial"/>
        </w:rPr>
      </w:pPr>
      <w:r>
        <w:rPr>
          <w:rFonts w:ascii="Arial" w:hAnsi="Arial" w:cs="Arial"/>
        </w:rPr>
        <w:t>O Fundo Eleitoral, que é a principal fonte de financiamento das campanhas políticas, também é objeto de discussões sobre transparência e equidade. Como observa Müller (2022), embora o fundo tenha sido criado para reduzir a dependência de recursos privados e limitar a influência de empresas nas campanhas, sua distribuição ainda gera controvérsias. A maior parte dos recursos é destinada aos partidos mais representativos, o que, segundo o autor, reforça a concentração de poder e dificulta o crescimento de partidos menores, que têm menos acesso a esses recursos e, consequentemente, menor capacidade de competir em pé de igualdade nas eleições.</w:t>
      </w:r>
    </w:p>
    <w:p w14:paraId="23FE5FC7" w14:textId="36A54C3B" w:rsidR="00E345F4" w:rsidRDefault="007919EB" w:rsidP="00EA3992">
      <w:pPr>
        <w:spacing w:line="360" w:lineRule="auto"/>
        <w:ind w:firstLine="709"/>
        <w:rPr>
          <w:rFonts w:ascii="Arial" w:hAnsi="Arial" w:cs="Arial"/>
        </w:rPr>
      </w:pPr>
      <w:r>
        <w:rPr>
          <w:rFonts w:ascii="Arial" w:hAnsi="Arial" w:cs="Arial"/>
        </w:rPr>
        <w:t>Para Vasconcelos (2022), a transparência nas prestações de contas dos partidos deve ser reforçada com o uso de novas tecnologias que permitam uma fiscalização mais eficiente e rápida. Ele sugere que a digitalização dos processos e a criação de sistemas integrados de auditoria poderiam facilitar a verificação dos relatórios e diminuir o risco de fraudes. Vasconcelos</w:t>
      </w:r>
      <w:r w:rsidR="00FC4F34">
        <w:rPr>
          <w:rFonts w:ascii="Arial" w:hAnsi="Arial" w:cs="Arial"/>
        </w:rPr>
        <w:t xml:space="preserve"> (2022)</w:t>
      </w:r>
      <w:r>
        <w:rPr>
          <w:rFonts w:ascii="Arial" w:hAnsi="Arial" w:cs="Arial"/>
        </w:rPr>
        <w:t xml:space="preserve"> acredita que, com uma </w:t>
      </w:r>
      <w:r w:rsidR="00E345F4">
        <w:rPr>
          <w:rFonts w:ascii="Arial" w:hAnsi="Arial" w:cs="Arial"/>
        </w:rPr>
        <w:t xml:space="preserve">                                                                                                                               </w:t>
      </w:r>
    </w:p>
    <w:p w14:paraId="44876BF8" w14:textId="47E47F8F" w:rsidR="00830283" w:rsidRDefault="007919EB" w:rsidP="00E345F4">
      <w:pPr>
        <w:spacing w:line="360" w:lineRule="auto"/>
        <w:rPr>
          <w:rFonts w:ascii="Arial" w:hAnsi="Arial" w:cs="Arial"/>
        </w:rPr>
      </w:pPr>
      <w:r>
        <w:rPr>
          <w:rFonts w:ascii="Arial" w:hAnsi="Arial" w:cs="Arial"/>
        </w:rPr>
        <w:lastRenderedPageBreak/>
        <w:t>infraestrutura tecnológica mais robusta, o TSE poderia aprimorar a detecção de inconsistências e melhorar a qualidade das informações disponíveis para a sociedade.</w:t>
      </w:r>
    </w:p>
    <w:p w14:paraId="1A45E45C" w14:textId="77777777" w:rsidR="00830283" w:rsidRDefault="007919EB">
      <w:pPr>
        <w:spacing w:line="360" w:lineRule="auto"/>
        <w:ind w:firstLine="709"/>
        <w:rPr>
          <w:rFonts w:ascii="Arial" w:hAnsi="Arial" w:cs="Arial"/>
        </w:rPr>
      </w:pPr>
      <w:r>
        <w:rPr>
          <w:rFonts w:ascii="Arial" w:hAnsi="Arial" w:cs="Arial"/>
        </w:rPr>
        <w:t>O acesso público às prestações de contas, facilitado pela plataforma de Divulgação de Candidaturas e Contas Eleitorais do TSE, desempenha um papel importante na promoção da transparência. Segundo Gomes (2023), essa plataforma permite que qualquer cidadão acompanhe as movimentações financeiras de candidatos e partidos, o que representa um avanço significativo para a democracia. No entanto, ele adverte que a eficácia desse sistema depende da clareza e da organização das informações. Sem uma padronização nos relatórios, o acesso pode se tornar confuso para o público, dificultando a fiscalização cidadã.</w:t>
      </w:r>
    </w:p>
    <w:p w14:paraId="06565A0B" w14:textId="77777777" w:rsidR="00830283" w:rsidRDefault="007919EB">
      <w:pPr>
        <w:spacing w:line="360" w:lineRule="auto"/>
        <w:ind w:firstLine="709"/>
        <w:rPr>
          <w:rFonts w:ascii="Arial" w:hAnsi="Arial" w:cs="Arial"/>
        </w:rPr>
      </w:pPr>
      <w:r>
        <w:rPr>
          <w:rFonts w:ascii="Arial" w:hAnsi="Arial" w:cs="Arial"/>
        </w:rPr>
        <w:t>Müller (2022) argumenta que, para que a transparência seja efetiva, é necessário também que a legislação preveja punições severas para irregularidades comprovadas. Ele sugere que penalidades mais rigorosas, como a suspensão de direitos políticos e a perda de acesso ao Fundo Eleitoral, poderiam desestimular práticas ilegais e fortalecer a integridade das campanhas. A falta de sanções adequadas, segundo Müller</w:t>
      </w:r>
      <w:r w:rsidR="006D074B">
        <w:rPr>
          <w:rFonts w:ascii="Arial" w:hAnsi="Arial" w:cs="Arial"/>
        </w:rPr>
        <w:t xml:space="preserve"> (2022)</w:t>
      </w:r>
      <w:r>
        <w:rPr>
          <w:rFonts w:ascii="Arial" w:hAnsi="Arial" w:cs="Arial"/>
        </w:rPr>
        <w:t>, contribui para a sensação de impunidade e diminui o impacto da transparência nas prestações de contas.</w:t>
      </w:r>
    </w:p>
    <w:p w14:paraId="39C90973" w14:textId="77777777" w:rsidR="00830283" w:rsidRDefault="007919EB">
      <w:pPr>
        <w:spacing w:line="360" w:lineRule="auto"/>
        <w:ind w:firstLine="709"/>
        <w:rPr>
          <w:rFonts w:ascii="Arial" w:hAnsi="Arial" w:cs="Arial"/>
        </w:rPr>
      </w:pPr>
      <w:r>
        <w:rPr>
          <w:rFonts w:ascii="Arial" w:hAnsi="Arial" w:cs="Arial"/>
        </w:rPr>
        <w:t>Outro ponto relevante é a relação entre a transparência nas contas e a confiança pública nas instituições. Ribeiro et al. (2024) afirmam que, em um contexto de crescente desconfiança na classe política, a prestação de contas é uma ferramenta para restaurar a credibilidade das instituições. A disponibilização de informações detalhadas e acessíveis permite que os eleitores avaliem a integridade dos candidatos e partidos, o que pode influenciar suas escolhas eleitorais. No entanto, os autores alertam que a falta de fiscalização adequada pode minar esse objetivo, prejudicando a confiança pública.</w:t>
      </w:r>
    </w:p>
    <w:p w14:paraId="707C561E" w14:textId="66FA8225" w:rsidR="00830283" w:rsidRDefault="007919EB" w:rsidP="00D317AE">
      <w:pPr>
        <w:spacing w:line="360" w:lineRule="auto"/>
        <w:ind w:firstLine="709"/>
        <w:rPr>
          <w:rFonts w:ascii="Arial" w:hAnsi="Arial" w:cs="Arial"/>
        </w:rPr>
      </w:pPr>
      <w:r>
        <w:rPr>
          <w:rFonts w:ascii="Arial" w:hAnsi="Arial" w:cs="Arial"/>
        </w:rPr>
        <w:t xml:space="preserve">Albuquerque e de Melo (2019) também observam que, para que a transparência seja eficiente, é importante que os partidos políticos adotem práticas de governança interna que promovam a responsabilidade financeira. Eles defendem que os partidos deveriam investir em auditorias internas e sistemas de </w:t>
      </w:r>
      <w:r w:rsidRPr="00AC0FC1">
        <w:rPr>
          <w:rFonts w:ascii="Arial" w:hAnsi="Arial" w:cs="Arial"/>
          <w:i/>
        </w:rPr>
        <w:t>compliance</w:t>
      </w:r>
      <w:r w:rsidR="00AB0FF0">
        <w:rPr>
          <w:rStyle w:val="Refdenotaderodap"/>
          <w:rFonts w:ascii="Arial" w:hAnsi="Arial" w:cs="Arial"/>
          <w:i/>
        </w:rPr>
        <w:footnoteReference w:id="2"/>
      </w:r>
      <w:r>
        <w:rPr>
          <w:rFonts w:ascii="Arial" w:hAnsi="Arial" w:cs="Arial"/>
        </w:rPr>
        <w:t>, além de capacitar suas equipes para garantir a conformidade com a legislação eleitoral.</w:t>
      </w:r>
      <w:r w:rsidR="00E345F4">
        <w:rPr>
          <w:rFonts w:ascii="Arial" w:hAnsi="Arial" w:cs="Arial"/>
        </w:rPr>
        <w:t xml:space="preserve">                                                                                                                           </w:t>
      </w:r>
      <w:r>
        <w:rPr>
          <w:rFonts w:ascii="Arial" w:hAnsi="Arial" w:cs="Arial"/>
        </w:rPr>
        <w:lastRenderedPageBreak/>
        <w:t>Segundo os autores, essas práticas de governança podem complementar a fiscalização externa e contribuir para a sustentabilidade financeira e ética dos partidos.</w:t>
      </w:r>
    </w:p>
    <w:p w14:paraId="6D00B8D4" w14:textId="77777777" w:rsidR="00830283" w:rsidRDefault="007919EB">
      <w:pPr>
        <w:spacing w:line="360" w:lineRule="auto"/>
        <w:ind w:firstLine="709"/>
        <w:rPr>
          <w:rFonts w:ascii="Arial" w:hAnsi="Arial" w:cs="Arial"/>
        </w:rPr>
      </w:pPr>
      <w:r>
        <w:rPr>
          <w:rFonts w:ascii="Arial" w:hAnsi="Arial" w:cs="Arial"/>
        </w:rPr>
        <w:t>A plataforma de Divulgação de Candidaturas e Contas Eleitorais, por sua vez, poderia ser melhorada para facilitar a compreensão do público leigo. Gomes (2023) sugere que o TSE implemente funcionalidades mais intuitivas e visualizações de dados que permitam aos cidadãos entender as movimentações financeiras sem necessidade de conhecimentos técnicos. Segundo ele, essas melhorias poderiam aumentar a participação da sociedade na fiscalização e fortalecer a transparência.</w:t>
      </w:r>
    </w:p>
    <w:p w14:paraId="4FBF87A3" w14:textId="0DCB1851" w:rsidR="00830283" w:rsidRDefault="007919EB">
      <w:pPr>
        <w:spacing w:line="360" w:lineRule="auto"/>
        <w:ind w:firstLine="709"/>
        <w:rPr>
          <w:rFonts w:ascii="Arial" w:hAnsi="Arial" w:cs="Arial"/>
        </w:rPr>
      </w:pPr>
      <w:r>
        <w:rPr>
          <w:rFonts w:ascii="Arial" w:hAnsi="Arial" w:cs="Arial"/>
        </w:rPr>
        <w:t xml:space="preserve">Ribeiro et al. (2024) alertam para o fato de que, embora o Fundo Eleitoral tenha como objetivo reduzir a influência de interesses privados, ele também pode ser manipulado para fins políticos. Eles argumentam que os critérios de distribuição dos recursos, baseados na representatividade dos partidos, favorecem aqueles que já possuem uma base estabelecida, perpetuando sua vantagem competitiva. Segundo os autores, isso limita a renovação política e pode afastar os cidadãos que se sentem </w:t>
      </w:r>
      <w:r w:rsidR="00BB368E">
        <w:rPr>
          <w:rFonts w:ascii="Arial" w:hAnsi="Arial" w:cs="Arial"/>
        </w:rPr>
        <w:t xml:space="preserve">não </w:t>
      </w:r>
      <w:r>
        <w:rPr>
          <w:rFonts w:ascii="Arial" w:hAnsi="Arial" w:cs="Arial"/>
        </w:rPr>
        <w:t>representados.</w:t>
      </w:r>
    </w:p>
    <w:p w14:paraId="01C36457" w14:textId="77777777" w:rsidR="00830283" w:rsidRDefault="007919EB">
      <w:pPr>
        <w:spacing w:line="360" w:lineRule="auto"/>
        <w:ind w:firstLine="709"/>
        <w:rPr>
          <w:rFonts w:ascii="Arial" w:hAnsi="Arial" w:cs="Arial"/>
        </w:rPr>
      </w:pPr>
      <w:r>
        <w:rPr>
          <w:rFonts w:ascii="Arial" w:hAnsi="Arial" w:cs="Arial"/>
        </w:rPr>
        <w:t>Müller (2022) destaca que a transparência das prestações de contas é fundamental para a equidade nas campanhas, mas sugere que a legislação poderia ser revisada para considerar as necessidades dos partidos menores. Ele acredita que a criação de um mecanismo de redistribuição de recursos, que favorecesse partidos emergentes, poderia promover um sistema mais democrático e competitivo.</w:t>
      </w:r>
    </w:p>
    <w:p w14:paraId="3FED1534" w14:textId="77777777" w:rsidR="00830283" w:rsidRDefault="007919EB">
      <w:pPr>
        <w:spacing w:line="360" w:lineRule="auto"/>
        <w:ind w:firstLine="709"/>
        <w:rPr>
          <w:rFonts w:ascii="Arial" w:hAnsi="Arial" w:cs="Arial"/>
        </w:rPr>
      </w:pPr>
      <w:r>
        <w:rPr>
          <w:rFonts w:ascii="Arial" w:hAnsi="Arial" w:cs="Arial"/>
        </w:rPr>
        <w:t>Por fim, Vasconcelos (2022) argumenta que a prestação de contas precisa evoluir para incluir não apenas o aspecto financeiro, mas também o impacto social das campanhas. Ele sugere que o TSE poderia exigir relatórios que detalhem a forma como os recursos foram aplicados em ações de engajamento social e educação política, promovendo uma visão mais ampla da transparência.</w:t>
      </w:r>
      <w:r w:rsidR="00A6085A">
        <w:rPr>
          <w:rFonts w:ascii="Arial" w:hAnsi="Arial" w:cs="Arial"/>
        </w:rPr>
        <w:t xml:space="preserve"> </w:t>
      </w:r>
      <w:r>
        <w:rPr>
          <w:rFonts w:ascii="Arial" w:hAnsi="Arial" w:cs="Arial"/>
        </w:rPr>
        <w:t>Assim, o debate sobre a prestação de contas e a transparência dos partidos políticos revela uma série de desafios e oportunidades para o aprimoramento do processo eleitoral brasileiro.</w:t>
      </w:r>
    </w:p>
    <w:p w14:paraId="655F4E5A" w14:textId="77777777" w:rsidR="00830283" w:rsidRDefault="007919EB">
      <w:pPr>
        <w:pStyle w:val="Ttulo1"/>
        <w:spacing w:after="0"/>
        <w:rPr>
          <w:rFonts w:ascii="Arial" w:hAnsi="Arial" w:cs="Arial"/>
          <w:sz w:val="24"/>
          <w:szCs w:val="24"/>
        </w:rPr>
      </w:pPr>
      <w:r>
        <w:rPr>
          <w:rFonts w:ascii="Arial" w:hAnsi="Arial" w:cs="Arial"/>
          <w:sz w:val="24"/>
          <w:szCs w:val="24"/>
        </w:rPr>
        <w:t>4. Conclusões</w:t>
      </w:r>
    </w:p>
    <w:p w14:paraId="16916D5B" w14:textId="747D8866" w:rsidR="00E345F4" w:rsidRDefault="007919EB" w:rsidP="00EA3992">
      <w:pPr>
        <w:pStyle w:val="Ttulosemnumerao"/>
        <w:spacing w:before="0"/>
        <w:ind w:firstLine="709"/>
        <w:rPr>
          <w:b w:val="0"/>
          <w:bCs/>
        </w:rPr>
      </w:pPr>
      <w:r>
        <w:rPr>
          <w:b w:val="0"/>
          <w:bCs/>
        </w:rPr>
        <w:t xml:space="preserve">A contabilidade eleitoral desempenha um papel crucial na integridade e na transparência do processo democrático. Ao assegurar que os recursos utilizados nas campanhas políticas sejam documentados e auditados, ela promove um ambiente </w:t>
      </w:r>
      <w:r w:rsidR="00E345F4">
        <w:rPr>
          <w:b w:val="0"/>
          <w:bCs/>
        </w:rPr>
        <w:t xml:space="preserve">                                                                                                                                </w:t>
      </w:r>
    </w:p>
    <w:p w14:paraId="02DDF593" w14:textId="6B86344D" w:rsidR="00830283" w:rsidRDefault="007919EB" w:rsidP="00E345F4">
      <w:pPr>
        <w:pStyle w:val="Ttulosemnumerao"/>
        <w:spacing w:before="0"/>
        <w:rPr>
          <w:b w:val="0"/>
          <w:bCs/>
        </w:rPr>
      </w:pPr>
      <w:r>
        <w:rPr>
          <w:b w:val="0"/>
          <w:bCs/>
        </w:rPr>
        <w:t xml:space="preserve">eleitoral mais justo e controlado, onde o uso de verbas públicas e privadas está sujeito </w:t>
      </w:r>
      <w:r w:rsidR="00FC5E92">
        <w:rPr>
          <w:b w:val="0"/>
          <w:bCs/>
        </w:rPr>
        <w:t>à verificação</w:t>
      </w:r>
      <w:r>
        <w:rPr>
          <w:b w:val="0"/>
          <w:bCs/>
        </w:rPr>
        <w:t xml:space="preserve"> da sociedade. Essa transparência contribui para a confiança pública nas </w:t>
      </w:r>
      <w:r>
        <w:rPr>
          <w:b w:val="0"/>
          <w:bCs/>
        </w:rPr>
        <w:lastRenderedPageBreak/>
        <w:t>instituições e fortalece a democracia ao garantir que todos os partidos estejam em conformidade com a legislação.</w:t>
      </w:r>
    </w:p>
    <w:p w14:paraId="1822BF8D" w14:textId="77777777" w:rsidR="00830283" w:rsidRDefault="007919EB">
      <w:pPr>
        <w:pStyle w:val="Ttulosemnumerao"/>
        <w:spacing w:before="0"/>
        <w:ind w:firstLine="709"/>
        <w:rPr>
          <w:b w:val="0"/>
          <w:bCs/>
        </w:rPr>
      </w:pPr>
      <w:r>
        <w:rPr>
          <w:b w:val="0"/>
          <w:bCs/>
        </w:rPr>
        <w:t>Apesar dos avanços nos mecanismos de controle, a prestação de contas dos partidos ainda enfrenta desafios significativos, especialmente quanto à fiscalização efetiva e à veracidade das informações apresentadas. Embora a legislação exija relatórios detalhados, a dificuldade de monitoramento e auditoria devido ao elevado volume de dados compromete a eficácia da contabilidade eleitoral. Assim, há uma necessidade de aprimorar os processos de auditoria e integrar tecnologias que facilitem a fiscalização.</w:t>
      </w:r>
    </w:p>
    <w:p w14:paraId="081B5214" w14:textId="77777777" w:rsidR="00830283" w:rsidRDefault="007919EB">
      <w:pPr>
        <w:pStyle w:val="Ttulosemnumerao"/>
        <w:spacing w:before="0"/>
        <w:ind w:firstLine="709"/>
        <w:rPr>
          <w:b w:val="0"/>
          <w:bCs/>
        </w:rPr>
      </w:pPr>
      <w:r>
        <w:rPr>
          <w:b w:val="0"/>
          <w:bCs/>
        </w:rPr>
        <w:t>A distribuição do Fundo Eleitoral é outro ponto crítico, pois a concentração de recursos em partidos maiores pode perpetuar desequilíbrios e reduzir a competitividade eleitoral. Um sistema de distribuição mais equitativo e que considere a pluralidade política seria um avanço para fomentar a diversidade e promover a inclusão de partidos menores. Esse ajuste permitiria que novas forças políticas tivessem acesso a recursos adequados, fortalecendo a representatividade no sistema político.</w:t>
      </w:r>
    </w:p>
    <w:p w14:paraId="1B28892F" w14:textId="00CEB92F" w:rsidR="00830283" w:rsidRDefault="006F13C6">
      <w:pPr>
        <w:pStyle w:val="Ttulosemnumerao"/>
        <w:spacing w:before="0"/>
        <w:ind w:firstLine="709"/>
        <w:rPr>
          <w:b w:val="0"/>
          <w:bCs/>
        </w:rPr>
      </w:pPr>
      <w:r w:rsidRPr="00E345F4">
        <w:rPr>
          <w:b w:val="0"/>
          <w:bCs/>
        </w:rPr>
        <w:t xml:space="preserve">Considera-se </w:t>
      </w:r>
      <w:r w:rsidR="007919EB" w:rsidRPr="00E345F4">
        <w:rPr>
          <w:b w:val="0"/>
          <w:bCs/>
        </w:rPr>
        <w:t xml:space="preserve">fundamental </w:t>
      </w:r>
      <w:r w:rsidR="007919EB">
        <w:rPr>
          <w:b w:val="0"/>
          <w:bCs/>
        </w:rPr>
        <w:t xml:space="preserve">que o sistema de prestação de contas continue evoluindo, incorporando novos mecanismos de transparência e punições adequadas para irregularidades. Dessa forma, a contabilidade eleitoral não será apenas um registro de movimentações financeiras, mas um verdadeiro instrumento de </w:t>
      </w:r>
      <w:r w:rsidR="007919EB" w:rsidRPr="00D46546">
        <w:rPr>
          <w:b w:val="0"/>
          <w:bCs/>
          <w:i/>
        </w:rPr>
        <w:t>accountability</w:t>
      </w:r>
      <w:r w:rsidR="007919EB" w:rsidRPr="00D46546">
        <w:rPr>
          <w:b w:val="0"/>
          <w:bCs/>
        </w:rPr>
        <w:t xml:space="preserve">, </w:t>
      </w:r>
      <w:r w:rsidR="007919EB">
        <w:rPr>
          <w:b w:val="0"/>
          <w:bCs/>
        </w:rPr>
        <w:t>permitindo que a sociedade participe ativamente da fiscalização dos recursos eleitorais. A responsabilidade financeira se torna, assim, um pilar na construção de um processo eleitoral mais ético.</w:t>
      </w:r>
    </w:p>
    <w:p w14:paraId="7D238139" w14:textId="77777777" w:rsidR="00830283" w:rsidRDefault="007919EB">
      <w:pPr>
        <w:pStyle w:val="Ttulosemnumerao"/>
        <w:spacing w:before="0"/>
        <w:ind w:firstLine="709"/>
        <w:rPr>
          <w:b w:val="0"/>
          <w:bCs/>
        </w:rPr>
      </w:pPr>
      <w:r>
        <w:rPr>
          <w:b w:val="0"/>
          <w:bCs/>
        </w:rPr>
        <w:t>Diante do exposto, observa-se que a contabilidade eleitoral, quando efetivamente aplicada, tem o potencial de transformar a relação entre partidos e sociedade, contribuindo para um processo democrático mais justo e transparente. Essa evolução demanda comprometimento das instituições e participação ativa dos cidadãos, promovendo um ciclo contínuo de aprimoramento e engajamento cívico.</w:t>
      </w:r>
    </w:p>
    <w:p w14:paraId="01540EC8" w14:textId="39C2CA44" w:rsidR="00E345F4" w:rsidRDefault="00CD11DA" w:rsidP="00EA3992">
      <w:pPr>
        <w:spacing w:after="120" w:line="360" w:lineRule="auto"/>
        <w:ind w:firstLine="709"/>
        <w:rPr>
          <w:rFonts w:ascii="Arial" w:hAnsi="Arial" w:cs="Arial"/>
        </w:rPr>
      </w:pPr>
      <w:r w:rsidRPr="00A509D8">
        <w:rPr>
          <w:rFonts w:ascii="Arial" w:hAnsi="Arial" w:cs="Arial"/>
        </w:rPr>
        <w:t>Com base no exposto considera-se ter alcançado o objetivo inicial do trabalho e ter</w:t>
      </w:r>
      <w:r w:rsidR="00004764" w:rsidRPr="00A509D8">
        <w:rPr>
          <w:rFonts w:ascii="Arial" w:hAnsi="Arial" w:cs="Arial"/>
        </w:rPr>
        <w:t xml:space="preserve"> analisa</w:t>
      </w:r>
      <w:r w:rsidRPr="00A509D8">
        <w:rPr>
          <w:rFonts w:ascii="Arial" w:hAnsi="Arial" w:cs="Arial"/>
        </w:rPr>
        <w:t>do</w:t>
      </w:r>
      <w:r w:rsidR="00004764" w:rsidRPr="00A509D8">
        <w:rPr>
          <w:rFonts w:ascii="Arial" w:hAnsi="Arial" w:cs="Arial"/>
        </w:rPr>
        <w:t xml:space="preserve"> a contabilidade eleitoral com foco na transparência e na equidade </w:t>
      </w:r>
      <w:r w:rsidR="00A509D8" w:rsidRPr="00A509D8">
        <w:rPr>
          <w:rFonts w:ascii="Arial" w:hAnsi="Arial" w:cs="Arial"/>
        </w:rPr>
        <w:t>d</w:t>
      </w:r>
      <w:r w:rsidR="00004764" w:rsidRPr="00A509D8">
        <w:rPr>
          <w:rFonts w:ascii="Arial" w:hAnsi="Arial" w:cs="Arial"/>
        </w:rPr>
        <w:t xml:space="preserve">o processo de prestação de contas dos partidos políticos no Brasil. </w:t>
      </w:r>
      <w:r w:rsidRPr="00A509D8">
        <w:rPr>
          <w:rFonts w:ascii="Arial" w:hAnsi="Arial" w:cs="Arial"/>
        </w:rPr>
        <w:t xml:space="preserve">Bem como ter </w:t>
      </w:r>
      <w:r w:rsidR="00E345F4">
        <w:rPr>
          <w:rFonts w:ascii="Arial" w:hAnsi="Arial" w:cs="Arial"/>
        </w:rPr>
        <w:t xml:space="preserve">                                                                                                                      </w:t>
      </w:r>
    </w:p>
    <w:p w14:paraId="16F760B8" w14:textId="7C4FA199" w:rsidR="00EA3992" w:rsidRDefault="00CD11DA" w:rsidP="00D317AE">
      <w:pPr>
        <w:spacing w:after="120" w:line="360" w:lineRule="auto"/>
      </w:pPr>
      <w:r w:rsidRPr="00A509D8">
        <w:rPr>
          <w:rFonts w:ascii="Arial" w:hAnsi="Arial" w:cs="Arial"/>
        </w:rPr>
        <w:lastRenderedPageBreak/>
        <w:t xml:space="preserve">respondido </w:t>
      </w:r>
      <w:r w:rsidR="00EC6574" w:rsidRPr="00A509D8">
        <w:rPr>
          <w:rFonts w:ascii="Arial" w:hAnsi="Arial" w:cs="Arial"/>
        </w:rPr>
        <w:t>à</w:t>
      </w:r>
      <w:r w:rsidRPr="00A509D8">
        <w:rPr>
          <w:rFonts w:ascii="Arial" w:hAnsi="Arial" w:cs="Arial"/>
        </w:rPr>
        <w:t xml:space="preserve"> questão de que a</w:t>
      </w:r>
      <w:r w:rsidR="00004764" w:rsidRPr="00A509D8">
        <w:rPr>
          <w:rFonts w:ascii="Arial" w:hAnsi="Arial" w:cs="Arial"/>
        </w:rPr>
        <w:t xml:space="preserve"> contabilidade eleitoral </w:t>
      </w:r>
      <w:r w:rsidRPr="00A509D8">
        <w:rPr>
          <w:rFonts w:ascii="Arial" w:hAnsi="Arial" w:cs="Arial"/>
        </w:rPr>
        <w:t>representa</w:t>
      </w:r>
      <w:r w:rsidR="00004764" w:rsidRPr="00A509D8">
        <w:rPr>
          <w:rFonts w:ascii="Arial" w:hAnsi="Arial" w:cs="Arial"/>
        </w:rPr>
        <w:t xml:space="preserve"> um mecanismo de controle social e de promoção da confiança pública nas instituições democráticas</w:t>
      </w:r>
      <w:r w:rsidRPr="00A509D8">
        <w:rPr>
          <w:rFonts w:ascii="Arial" w:hAnsi="Arial" w:cs="Arial"/>
        </w:rPr>
        <w:t>, quando efetivamente aplicada</w:t>
      </w:r>
      <w:r w:rsidR="00004764" w:rsidRPr="00A509D8">
        <w:rPr>
          <w:rFonts w:ascii="Arial" w:hAnsi="Arial" w:cs="Arial"/>
        </w:rPr>
        <w:t>.</w:t>
      </w:r>
      <w:r w:rsidR="00FB300D" w:rsidRPr="00A509D8">
        <w:rPr>
          <w:rFonts w:ascii="Arial" w:hAnsi="Arial" w:cs="Arial"/>
        </w:rPr>
        <w:t xml:space="preserve"> </w:t>
      </w:r>
    </w:p>
    <w:p w14:paraId="252CC544" w14:textId="348F6FF1" w:rsidR="00830283" w:rsidRPr="00A509D8" w:rsidRDefault="007919EB">
      <w:pPr>
        <w:pStyle w:val="Ttulosemnumerao"/>
      </w:pPr>
      <w:r w:rsidRPr="00A509D8">
        <w:t xml:space="preserve">Referências </w:t>
      </w:r>
    </w:p>
    <w:p w14:paraId="128C0399" w14:textId="77777777" w:rsidR="00830283" w:rsidRPr="00A509D8" w:rsidRDefault="007919EB" w:rsidP="007A5BB3">
      <w:pPr>
        <w:widowControl w:val="0"/>
        <w:tabs>
          <w:tab w:val="left" w:pos="220"/>
        </w:tabs>
        <w:spacing w:after="120" w:line="360" w:lineRule="auto"/>
        <w:rPr>
          <w:rFonts w:ascii="Arial" w:hAnsi="Arial" w:cs="Arial"/>
        </w:rPr>
      </w:pPr>
      <w:r w:rsidRPr="00A509D8">
        <w:rPr>
          <w:rFonts w:ascii="Arial" w:hAnsi="Arial" w:cs="Arial"/>
          <w:szCs w:val="22"/>
        </w:rPr>
        <w:t xml:space="preserve">BRASIL. Lei n. 9.504, de 30 de setembro de 1997. Estabelece normas para as eleições. Disponível em: </w:t>
      </w:r>
      <w:hyperlink r:id="rId16" w:history="1">
        <w:r w:rsidRPr="00A509D8">
          <w:rPr>
            <w:rStyle w:val="Hyperlink"/>
            <w:rFonts w:ascii="Arial" w:hAnsi="Arial" w:cs="Arial"/>
            <w:color w:val="auto"/>
            <w:szCs w:val="22"/>
            <w:u w:val="none"/>
          </w:rPr>
          <w:t>https://www.planalto.gov.br/ccivil_03/leis/l9504.htm</w:t>
        </w:r>
      </w:hyperlink>
      <w:r w:rsidRPr="00A509D8">
        <w:rPr>
          <w:rFonts w:ascii="Arial" w:hAnsi="Arial" w:cs="Arial"/>
          <w:szCs w:val="22"/>
        </w:rPr>
        <w:t>. Acesso em: 10 set. 2024.</w:t>
      </w:r>
    </w:p>
    <w:p w14:paraId="2072CD44" w14:textId="77777777" w:rsidR="00830283" w:rsidRPr="00A509D8" w:rsidRDefault="007919EB" w:rsidP="007A5BB3">
      <w:pPr>
        <w:widowControl w:val="0"/>
        <w:tabs>
          <w:tab w:val="left" w:pos="220"/>
        </w:tabs>
        <w:spacing w:after="120" w:line="360" w:lineRule="auto"/>
        <w:rPr>
          <w:rFonts w:ascii="Arial" w:hAnsi="Arial" w:cs="Arial"/>
        </w:rPr>
      </w:pPr>
      <w:r w:rsidRPr="00A509D8">
        <w:rPr>
          <w:rFonts w:ascii="Arial" w:hAnsi="Arial" w:cs="Arial"/>
          <w:szCs w:val="22"/>
        </w:rPr>
        <w:t xml:space="preserve">BRASIL. Resolução TSE n. 23.607, de 17 de dezembro de 2019. Dispõe sobre a arrecadação e os gastos de recursos por partidos políticos e candidatas ou candidatos e sobre a prestação de contas nas eleições. Disponível em: </w:t>
      </w:r>
      <w:hyperlink r:id="rId17" w:history="1">
        <w:r w:rsidRPr="00A509D8">
          <w:rPr>
            <w:rStyle w:val="Hyperlink"/>
            <w:rFonts w:ascii="Arial" w:hAnsi="Arial" w:cs="Arial"/>
            <w:color w:val="auto"/>
            <w:szCs w:val="22"/>
            <w:u w:val="none"/>
          </w:rPr>
          <w:t>https://www.tse.jus.br/legislacao/compilada/res/2019/resolucao-no-23-607-de-17-de-dezembro-de-2019</w:t>
        </w:r>
      </w:hyperlink>
      <w:r w:rsidRPr="00A509D8">
        <w:rPr>
          <w:rFonts w:ascii="Arial" w:hAnsi="Arial" w:cs="Arial"/>
          <w:szCs w:val="22"/>
        </w:rPr>
        <w:t>. Acesso em: 12 set. 2024.</w:t>
      </w:r>
    </w:p>
    <w:p w14:paraId="472D97EC" w14:textId="77777777" w:rsidR="00A509D8" w:rsidRPr="00AC36A3" w:rsidRDefault="007919EB" w:rsidP="00A509D8">
      <w:pPr>
        <w:widowControl w:val="0"/>
        <w:tabs>
          <w:tab w:val="left" w:pos="220"/>
        </w:tabs>
        <w:spacing w:after="120" w:line="360" w:lineRule="auto"/>
        <w:rPr>
          <w:rStyle w:val="Hyperlink"/>
          <w:rFonts w:ascii="Arial" w:hAnsi="Arial" w:cs="Arial"/>
          <w:color w:val="auto"/>
          <w:u w:val="none"/>
          <w:shd w:val="clear" w:color="auto" w:fill="FFFFFF"/>
        </w:rPr>
      </w:pPr>
      <w:r w:rsidRPr="00A509D8">
        <w:rPr>
          <w:rFonts w:ascii="Arial" w:hAnsi="Arial" w:cs="Arial"/>
          <w:szCs w:val="22"/>
        </w:rPr>
        <w:t xml:space="preserve">DA SILVA, Thalita Vitória Moreira; ROSA, Guilherme Eduardo Sarturi; DE OLIVEIRA, Marcelo Lima. FINANCIAMENTO DE CAMPANHAS POLÍTICAS: ANÁLISE SOBRE A </w:t>
      </w:r>
      <w:r w:rsidRPr="00AC36A3">
        <w:rPr>
          <w:rFonts w:ascii="Arial" w:hAnsi="Arial" w:cs="Arial"/>
          <w:szCs w:val="22"/>
        </w:rPr>
        <w:t>TRANSPARÊNCIA E EQUIDADE NO PROCESSO ELEITORAL E PRESTAÇÃO DE CONTAS. </w:t>
      </w:r>
      <w:r w:rsidRPr="00AC36A3">
        <w:rPr>
          <w:rFonts w:ascii="Arial" w:hAnsi="Arial" w:cs="Arial"/>
          <w:bCs/>
          <w:szCs w:val="22"/>
        </w:rPr>
        <w:t>Revista Ibero-Americana de Humanidades, Ciências e Educação</w:t>
      </w:r>
      <w:r w:rsidRPr="00AC36A3">
        <w:rPr>
          <w:rFonts w:ascii="Arial" w:hAnsi="Arial" w:cs="Arial"/>
          <w:szCs w:val="22"/>
        </w:rPr>
        <w:t>, v. 9, n. 10, p. 2905-2914, 2023.</w:t>
      </w:r>
      <w:r w:rsidR="001A17CF" w:rsidRPr="00AC36A3">
        <w:rPr>
          <w:rFonts w:ascii="Arial" w:hAnsi="Arial" w:cs="Arial"/>
          <w:szCs w:val="22"/>
        </w:rPr>
        <w:t xml:space="preserve"> GOMES, José Jairo. Direito Eleitoral. 19. ed. São Paulo: Grupo GEN, 2023. E-book.</w:t>
      </w:r>
      <w:r w:rsidR="001A17CF" w:rsidRPr="00AC36A3">
        <w:rPr>
          <w:rFonts w:ascii="Arial" w:hAnsi="Arial" w:cs="Arial"/>
        </w:rPr>
        <w:t xml:space="preserve"> </w:t>
      </w:r>
      <w:r w:rsidR="00A509D8" w:rsidRPr="00AC36A3">
        <w:rPr>
          <w:rFonts w:ascii="Arial" w:hAnsi="Arial" w:cs="Arial"/>
          <w:szCs w:val="22"/>
        </w:rPr>
        <w:t xml:space="preserve">Disponível em: </w:t>
      </w:r>
      <w:hyperlink r:id="rId18" w:history="1">
        <w:r w:rsidR="00254302" w:rsidRPr="00AC36A3">
          <w:rPr>
            <w:rStyle w:val="Hyperlink"/>
            <w:rFonts w:ascii="Arial" w:hAnsi="Arial" w:cs="Arial"/>
            <w:color w:val="auto"/>
            <w:u w:val="none"/>
            <w:shd w:val="clear" w:color="auto" w:fill="FFFFFF"/>
          </w:rPr>
          <w:t>https://doi.org/10.51891/rease.v10i11</w:t>
        </w:r>
      </w:hyperlink>
      <w:r w:rsidR="00A509D8" w:rsidRPr="00AC36A3">
        <w:rPr>
          <w:rStyle w:val="Hyperlink"/>
          <w:rFonts w:ascii="Arial" w:hAnsi="Arial" w:cs="Arial"/>
          <w:color w:val="auto"/>
          <w:u w:val="none"/>
          <w:shd w:val="clear" w:color="auto" w:fill="FFFFFF"/>
        </w:rPr>
        <w:t xml:space="preserve"> </w:t>
      </w:r>
      <w:r w:rsidR="00A509D8" w:rsidRPr="00AC36A3">
        <w:rPr>
          <w:rFonts w:ascii="Arial" w:hAnsi="Arial" w:cs="Arial"/>
          <w:szCs w:val="22"/>
        </w:rPr>
        <w:t>Acesso 10 out. 2024.</w:t>
      </w:r>
    </w:p>
    <w:p w14:paraId="18AB935D" w14:textId="4243CE07" w:rsidR="00254302" w:rsidRPr="00A509D8" w:rsidRDefault="007919EB" w:rsidP="007A5BB3">
      <w:pPr>
        <w:widowControl w:val="0"/>
        <w:tabs>
          <w:tab w:val="left" w:pos="220"/>
        </w:tabs>
        <w:spacing w:after="120" w:line="360" w:lineRule="auto"/>
        <w:rPr>
          <w:rStyle w:val="Hyperlink"/>
          <w:rFonts w:ascii="Arial" w:hAnsi="Arial" w:cs="Arial"/>
          <w:color w:val="auto"/>
          <w:u w:val="none"/>
          <w:shd w:val="clear" w:color="auto" w:fill="FFFFFF"/>
        </w:rPr>
      </w:pPr>
      <w:r w:rsidRPr="00AC36A3">
        <w:rPr>
          <w:rFonts w:ascii="Arial" w:hAnsi="Arial" w:cs="Arial"/>
          <w:szCs w:val="22"/>
        </w:rPr>
        <w:t>DE ALBUQUERQUE, Joselânia Vieira; DE MELO, Ana Cristina Inácio. O exercício do profissional de contabilidade à frente das exigências do TSE nas campanhas eleitorais. </w:t>
      </w:r>
      <w:r w:rsidRPr="00AC36A3">
        <w:rPr>
          <w:rFonts w:ascii="Arial" w:hAnsi="Arial" w:cs="Arial"/>
          <w:bCs/>
          <w:szCs w:val="22"/>
        </w:rPr>
        <w:t>Revista Multidisciplinar do Sertão</w:t>
      </w:r>
      <w:r w:rsidRPr="00AC36A3">
        <w:rPr>
          <w:rFonts w:ascii="Arial" w:hAnsi="Arial" w:cs="Arial"/>
          <w:szCs w:val="22"/>
        </w:rPr>
        <w:t>, v. 1</w:t>
      </w:r>
      <w:r w:rsidRPr="00A509D8">
        <w:rPr>
          <w:rFonts w:ascii="Arial" w:hAnsi="Arial" w:cs="Arial"/>
          <w:szCs w:val="22"/>
        </w:rPr>
        <w:t>, n. 1, p. 143-156, 2019.</w:t>
      </w:r>
      <w:r w:rsidR="001A17CF" w:rsidRPr="00A509D8">
        <w:rPr>
          <w:rFonts w:ascii="Arial" w:hAnsi="Arial" w:cs="Arial"/>
          <w:szCs w:val="22"/>
        </w:rPr>
        <w:t xml:space="preserve"> GOMES, José Jairo. Direito Eleitoral. 19. ed. São Paulo: Grupo GEN, 2023. E-book.</w:t>
      </w:r>
      <w:r w:rsidR="00A509D8" w:rsidRPr="00A509D8">
        <w:rPr>
          <w:rFonts w:ascii="Arial" w:hAnsi="Arial" w:cs="Arial"/>
          <w:szCs w:val="22"/>
        </w:rPr>
        <w:t xml:space="preserve"> Disponível em: </w:t>
      </w:r>
      <w:r w:rsidR="001A17CF" w:rsidRPr="00A509D8">
        <w:rPr>
          <w:rFonts w:ascii="Arial" w:hAnsi="Arial" w:cs="Arial"/>
          <w:szCs w:val="22"/>
        </w:rPr>
        <w:t xml:space="preserve"> </w:t>
      </w:r>
      <w:r w:rsidR="00254302" w:rsidRPr="00A509D8">
        <w:rPr>
          <w:rStyle w:val="Hyperlink"/>
          <w:rFonts w:ascii="Arial" w:hAnsi="Arial" w:cs="Arial"/>
          <w:color w:val="auto"/>
          <w:u w:val="none"/>
          <w:shd w:val="clear" w:color="auto" w:fill="FFFFFF"/>
        </w:rPr>
        <w:t xml:space="preserve">https://www.revistamultisertao.com.br/index.php/revista/issue/view/27 </w:t>
      </w:r>
      <w:r w:rsidR="00A509D8" w:rsidRPr="00A509D8">
        <w:rPr>
          <w:rFonts w:ascii="Arial" w:hAnsi="Arial" w:cs="Arial"/>
          <w:szCs w:val="22"/>
        </w:rPr>
        <w:t>Acesso 10 out. 2024.</w:t>
      </w:r>
    </w:p>
    <w:p w14:paraId="25F03547" w14:textId="145B968E" w:rsidR="00830283" w:rsidRPr="00A509D8" w:rsidRDefault="007919EB" w:rsidP="007A5BB3">
      <w:pPr>
        <w:widowControl w:val="0"/>
        <w:tabs>
          <w:tab w:val="left" w:pos="220"/>
        </w:tabs>
        <w:spacing w:after="120" w:line="360" w:lineRule="auto"/>
        <w:rPr>
          <w:rFonts w:ascii="Arial" w:hAnsi="Arial" w:cs="Arial"/>
        </w:rPr>
      </w:pPr>
      <w:r w:rsidRPr="00A509D8">
        <w:rPr>
          <w:rFonts w:ascii="Arial" w:hAnsi="Arial" w:cs="Arial"/>
          <w:szCs w:val="22"/>
        </w:rPr>
        <w:t xml:space="preserve">Divulgação de Candidaturas e Contas Eleitorais. 2023. Disponível em: </w:t>
      </w:r>
      <w:hyperlink r:id="rId19" w:anchor="/" w:history="1">
        <w:r w:rsidRPr="00A509D8">
          <w:rPr>
            <w:rStyle w:val="Hyperlink"/>
            <w:rFonts w:ascii="Arial" w:hAnsi="Arial" w:cs="Arial"/>
            <w:color w:val="auto"/>
            <w:szCs w:val="22"/>
            <w:u w:val="none"/>
          </w:rPr>
          <w:t>https://divulgacandcontas.tse.jus.br/divulga/#/</w:t>
        </w:r>
      </w:hyperlink>
      <w:r w:rsidRPr="00A509D8">
        <w:rPr>
          <w:rFonts w:ascii="Arial" w:hAnsi="Arial" w:cs="Arial"/>
          <w:szCs w:val="22"/>
        </w:rPr>
        <w:t>. Acesso em: 25 ago. 2024.</w:t>
      </w:r>
    </w:p>
    <w:p w14:paraId="0B38B160" w14:textId="77777777" w:rsidR="00830283" w:rsidRPr="00A509D8" w:rsidRDefault="007919EB" w:rsidP="007A5BB3">
      <w:pPr>
        <w:widowControl w:val="0"/>
        <w:tabs>
          <w:tab w:val="left" w:pos="220"/>
        </w:tabs>
        <w:spacing w:after="120" w:line="360" w:lineRule="auto"/>
        <w:rPr>
          <w:rFonts w:ascii="Arial" w:hAnsi="Arial" w:cs="Arial"/>
          <w:szCs w:val="22"/>
        </w:rPr>
      </w:pPr>
      <w:r w:rsidRPr="00A509D8">
        <w:rPr>
          <w:rFonts w:ascii="Arial" w:hAnsi="Arial" w:cs="Arial"/>
          <w:szCs w:val="22"/>
        </w:rPr>
        <w:t>GOMES, José Jairo. Direito Eleitoral. 13. ed. São Paulo: Atlas, 2017.</w:t>
      </w:r>
    </w:p>
    <w:p w14:paraId="738BCFD5" w14:textId="77777777" w:rsidR="00A509D8" w:rsidRPr="00A509D8" w:rsidRDefault="007919EB" w:rsidP="007A5BB3">
      <w:pPr>
        <w:widowControl w:val="0"/>
        <w:tabs>
          <w:tab w:val="left" w:pos="220"/>
        </w:tabs>
        <w:spacing w:after="120" w:line="360" w:lineRule="auto"/>
        <w:rPr>
          <w:rFonts w:ascii="Arial" w:hAnsi="Arial" w:cs="Arial"/>
          <w:szCs w:val="22"/>
        </w:rPr>
      </w:pPr>
      <w:r w:rsidRPr="00A509D8">
        <w:rPr>
          <w:rFonts w:ascii="Arial" w:hAnsi="Arial" w:cs="Arial"/>
          <w:szCs w:val="22"/>
        </w:rPr>
        <w:t>GOMES, José Jairo. Direito Eleitoral. 19. ed. São Paulo: Grupo GEN, 2023. E-book.</w:t>
      </w:r>
      <w:r w:rsidR="00A509D8" w:rsidRPr="00A509D8">
        <w:rPr>
          <w:rFonts w:ascii="Arial" w:hAnsi="Arial" w:cs="Arial"/>
          <w:szCs w:val="22"/>
        </w:rPr>
        <w:t xml:space="preserve"> Disponível em:</w:t>
      </w:r>
    </w:p>
    <w:p w14:paraId="15467F7F" w14:textId="48D0227F" w:rsidR="00E345F4" w:rsidRDefault="00E345F4" w:rsidP="007A5BB3">
      <w:pPr>
        <w:widowControl w:val="0"/>
        <w:tabs>
          <w:tab w:val="left" w:pos="220"/>
        </w:tabs>
        <w:spacing w:after="120" w:line="360" w:lineRule="auto"/>
      </w:pPr>
      <w:r>
        <w:t xml:space="preserve">                                                                                                                                                </w:t>
      </w:r>
    </w:p>
    <w:p w14:paraId="7B0DAE28" w14:textId="36C1405F" w:rsidR="00E25B20" w:rsidRPr="00A509D8" w:rsidRDefault="000453C4" w:rsidP="007A5BB3">
      <w:pPr>
        <w:widowControl w:val="0"/>
        <w:tabs>
          <w:tab w:val="left" w:pos="220"/>
        </w:tabs>
        <w:spacing w:after="120" w:line="360" w:lineRule="auto"/>
        <w:rPr>
          <w:rFonts w:ascii="Arial" w:hAnsi="Arial" w:cs="Arial"/>
          <w:szCs w:val="22"/>
        </w:rPr>
      </w:pPr>
      <w:hyperlink r:id="rId20" w:history="1">
        <w:r w:rsidR="00E345F4" w:rsidRPr="00E345F4">
          <w:rPr>
            <w:rStyle w:val="Hyperlink"/>
            <w:rFonts w:ascii="Arial" w:hAnsi="Arial" w:cs="Arial"/>
            <w:color w:val="auto"/>
            <w:szCs w:val="22"/>
            <w:u w:val="none"/>
          </w:rPr>
          <w:t>https://integrada.minhabiblioteca.com.br/reader/books/9786559776054/epubcfi/6/2%5B%3Bvnd.vst.idref%3Dcover%5D!/4/2/2%4051:80</w:t>
        </w:r>
      </w:hyperlink>
      <w:r w:rsidR="00A509D8" w:rsidRPr="00E345F4">
        <w:rPr>
          <w:rStyle w:val="Hyperlink"/>
          <w:rFonts w:ascii="Arial" w:hAnsi="Arial" w:cs="Arial"/>
          <w:color w:val="auto"/>
          <w:szCs w:val="22"/>
          <w:u w:val="none"/>
        </w:rPr>
        <w:t xml:space="preserve"> </w:t>
      </w:r>
      <w:r w:rsidR="00A509D8" w:rsidRPr="00E345F4">
        <w:rPr>
          <w:rFonts w:ascii="Arial" w:hAnsi="Arial" w:cs="Arial"/>
          <w:szCs w:val="22"/>
        </w:rPr>
        <w:t xml:space="preserve">Acesso </w:t>
      </w:r>
      <w:r w:rsidR="00A509D8" w:rsidRPr="00A509D8">
        <w:rPr>
          <w:rFonts w:ascii="Arial" w:hAnsi="Arial" w:cs="Arial"/>
          <w:szCs w:val="22"/>
        </w:rPr>
        <w:t>10 out. 2024.</w:t>
      </w:r>
    </w:p>
    <w:p w14:paraId="304E9D6C" w14:textId="3223985D" w:rsidR="00830283" w:rsidRPr="00A509D8" w:rsidRDefault="007919EB" w:rsidP="007A5BB3">
      <w:pPr>
        <w:widowControl w:val="0"/>
        <w:tabs>
          <w:tab w:val="left" w:pos="220"/>
        </w:tabs>
        <w:spacing w:after="120" w:line="360" w:lineRule="auto"/>
        <w:rPr>
          <w:rFonts w:ascii="Arial" w:hAnsi="Arial" w:cs="Arial"/>
          <w:szCs w:val="22"/>
        </w:rPr>
      </w:pPr>
      <w:r w:rsidRPr="00A509D8">
        <w:rPr>
          <w:rFonts w:ascii="Arial" w:hAnsi="Arial" w:cs="Arial"/>
          <w:szCs w:val="22"/>
        </w:rPr>
        <w:t>MÜLLER, Taíne Camila. A contabilidade como instrumento de controle social na prestação de contas dos partidos políticos. 2022.</w:t>
      </w:r>
      <w:r w:rsidR="00A509D8" w:rsidRPr="00A509D8">
        <w:rPr>
          <w:rFonts w:ascii="Arial" w:hAnsi="Arial" w:cs="Arial"/>
          <w:szCs w:val="22"/>
        </w:rPr>
        <w:t xml:space="preserve"> Disponível em:</w:t>
      </w:r>
      <w:r w:rsidRPr="00A509D8">
        <w:rPr>
          <w:rFonts w:ascii="Arial" w:hAnsi="Arial" w:cs="Arial"/>
          <w:szCs w:val="22"/>
        </w:rPr>
        <w:t xml:space="preserve"> </w:t>
      </w:r>
      <w:r w:rsidR="00E25B20" w:rsidRPr="00A509D8">
        <w:rPr>
          <w:rFonts w:ascii="Arial" w:hAnsi="Arial" w:cs="Arial"/>
          <w:szCs w:val="22"/>
        </w:rPr>
        <w:t xml:space="preserve">  </w:t>
      </w:r>
      <w:hyperlink r:id="rId21" w:history="1">
        <w:r w:rsidR="00A509D8" w:rsidRPr="00A509D8">
          <w:rPr>
            <w:rStyle w:val="Hyperlink"/>
            <w:rFonts w:ascii="Arial" w:hAnsi="Arial" w:cs="Arial"/>
            <w:color w:val="auto"/>
            <w:u w:val="none"/>
          </w:rPr>
          <w:t>https://repositorio.ucs.br/xmlui/bitstream/handle/11338/5076/TCC%20Taíne%20Camila%20Müller.pdf?sequence=1&amp;isAllowed=y</w:t>
        </w:r>
      </w:hyperlink>
      <w:r w:rsidR="00A509D8" w:rsidRPr="00A509D8">
        <w:rPr>
          <w:rStyle w:val="Hyperlink"/>
          <w:rFonts w:ascii="Arial" w:hAnsi="Arial" w:cs="Arial"/>
          <w:color w:val="auto"/>
          <w:u w:val="none"/>
        </w:rPr>
        <w:t xml:space="preserve"> </w:t>
      </w:r>
      <w:r w:rsidR="00A509D8" w:rsidRPr="00A509D8">
        <w:rPr>
          <w:rFonts w:ascii="Arial" w:hAnsi="Arial" w:cs="Arial"/>
          <w:szCs w:val="22"/>
        </w:rPr>
        <w:t>Acesso 10 out. 2024.</w:t>
      </w:r>
    </w:p>
    <w:p w14:paraId="7FBF817D" w14:textId="77777777" w:rsidR="00A509D8" w:rsidRPr="00FE6DBB" w:rsidRDefault="00015B9D" w:rsidP="00A509D8">
      <w:pPr>
        <w:widowControl w:val="0"/>
        <w:tabs>
          <w:tab w:val="left" w:pos="220"/>
        </w:tabs>
        <w:spacing w:after="120" w:line="360" w:lineRule="auto"/>
        <w:rPr>
          <w:rFonts w:ascii="Arial" w:hAnsi="Arial" w:cs="Arial"/>
          <w:szCs w:val="22"/>
        </w:rPr>
      </w:pPr>
      <w:r w:rsidRPr="00A509D8">
        <w:rPr>
          <w:rFonts w:ascii="Arial" w:hAnsi="Arial" w:cs="Arial"/>
          <w:szCs w:val="22"/>
        </w:rPr>
        <w:t>RIBEIRO</w:t>
      </w:r>
      <w:r w:rsidR="007919EB" w:rsidRPr="00A509D8">
        <w:rPr>
          <w:rFonts w:ascii="Arial" w:hAnsi="Arial" w:cs="Arial"/>
          <w:szCs w:val="22"/>
        </w:rPr>
        <w:t>, Hiago Domingos et al. ASPECTOS CONTÁBEIS NAS PRESTAÇÕES DE CONTAS ELEITORAIS: UMA ANÁLISE DOCUMENTAL. </w:t>
      </w:r>
      <w:r w:rsidR="007919EB" w:rsidRPr="00FE6DBB">
        <w:rPr>
          <w:rFonts w:ascii="Arial" w:hAnsi="Arial" w:cs="Arial"/>
          <w:bCs/>
          <w:szCs w:val="22"/>
        </w:rPr>
        <w:t>REVISTA CIENTÍFICA COSMOS ACADÊMICO</w:t>
      </w:r>
      <w:r w:rsidR="007919EB" w:rsidRPr="00FE6DBB">
        <w:rPr>
          <w:rFonts w:ascii="Arial" w:hAnsi="Arial" w:cs="Arial"/>
          <w:szCs w:val="22"/>
        </w:rPr>
        <w:t>, p. 25. 2024.</w:t>
      </w:r>
      <w:r w:rsidR="00A54CAF" w:rsidRPr="00FE6DBB">
        <w:rPr>
          <w:rFonts w:ascii="Arial" w:hAnsi="Arial" w:cs="Arial"/>
          <w:szCs w:val="22"/>
        </w:rPr>
        <w:t xml:space="preserve"> </w:t>
      </w:r>
      <w:r w:rsidR="001F5E3E" w:rsidRPr="00FE6DBB">
        <w:rPr>
          <w:rFonts w:ascii="Arial" w:hAnsi="Arial" w:cs="Arial"/>
          <w:szCs w:val="22"/>
        </w:rPr>
        <w:t>M</w:t>
      </w:r>
      <w:r w:rsidR="00A509D8" w:rsidRPr="00FE6DBB">
        <w:rPr>
          <w:rFonts w:ascii="Arial" w:hAnsi="Arial" w:cs="Arial"/>
          <w:szCs w:val="22"/>
        </w:rPr>
        <w:t xml:space="preserve"> Disponível em:</w:t>
      </w:r>
    </w:p>
    <w:p w14:paraId="52FA10E0" w14:textId="550A2ACC" w:rsidR="00830283" w:rsidRPr="002A0C27" w:rsidRDefault="00A54CAF" w:rsidP="007A5BB3">
      <w:pPr>
        <w:widowControl w:val="0"/>
        <w:tabs>
          <w:tab w:val="left" w:pos="220"/>
        </w:tabs>
        <w:spacing w:after="120" w:line="360" w:lineRule="auto"/>
        <w:rPr>
          <w:rFonts w:ascii="Arial" w:hAnsi="Arial" w:cs="Arial"/>
          <w:szCs w:val="22"/>
        </w:rPr>
      </w:pPr>
      <w:r w:rsidRPr="00A509D8">
        <w:rPr>
          <w:rFonts w:ascii="Arial" w:hAnsi="Arial" w:cs="Arial"/>
          <w:szCs w:val="22"/>
        </w:rPr>
        <w:t>ultivix.edu.br/wp-content/uploads/2024/09/Revista-Cosmos-Academico-v8-n4-2023</w:t>
      </w:r>
      <w:r w:rsidRPr="002A0C27">
        <w:rPr>
          <w:rFonts w:ascii="Arial" w:hAnsi="Arial" w:cs="Arial"/>
          <w:szCs w:val="22"/>
        </w:rPr>
        <w:t>-.pdf</w:t>
      </w:r>
      <w:r w:rsidR="00A509D8" w:rsidRPr="002A0C27">
        <w:rPr>
          <w:rFonts w:ascii="Arial" w:hAnsi="Arial" w:cs="Arial"/>
          <w:szCs w:val="22"/>
        </w:rPr>
        <w:t xml:space="preserve"> Acesso 10 out. 2024.</w:t>
      </w:r>
    </w:p>
    <w:p w14:paraId="0218B765" w14:textId="705B1284" w:rsidR="002A0C27" w:rsidRPr="002A0C27" w:rsidRDefault="002A0C27" w:rsidP="007A5BB3">
      <w:pPr>
        <w:widowControl w:val="0"/>
        <w:tabs>
          <w:tab w:val="left" w:pos="220"/>
        </w:tabs>
        <w:spacing w:after="120" w:line="360" w:lineRule="auto"/>
        <w:rPr>
          <w:rFonts w:ascii="Arial" w:hAnsi="Arial" w:cs="Arial"/>
          <w:szCs w:val="22"/>
        </w:rPr>
      </w:pPr>
      <w:r w:rsidRPr="002A0C27">
        <w:rPr>
          <w:rFonts w:ascii="Arial" w:hAnsi="Arial" w:cs="Arial"/>
        </w:rPr>
        <w:t xml:space="preserve">TRIBUNAL SUPERIOR ELEITORAL, 2023. Disponível em: </w:t>
      </w:r>
      <w:hyperlink r:id="rId22" w:history="1">
        <w:r w:rsidRPr="002A0C27">
          <w:rPr>
            <w:rStyle w:val="Hyperlink"/>
            <w:rFonts w:ascii="Arial" w:hAnsi="Arial" w:cs="Arial"/>
            <w:color w:val="auto"/>
            <w:u w:val="none"/>
          </w:rPr>
          <w:t>https://www.tse.jus.br/legislacao/codigo-eleitoral</w:t>
        </w:r>
      </w:hyperlink>
      <w:r w:rsidRPr="002A0C27">
        <w:rPr>
          <w:rFonts w:ascii="Arial" w:hAnsi="Arial" w:cs="Arial"/>
        </w:rPr>
        <w:t xml:space="preserve">. Acesso em </w:t>
      </w:r>
      <w:r w:rsidRPr="002A0C27">
        <w:rPr>
          <w:rFonts w:ascii="Arial" w:hAnsi="Arial" w:cs="Arial"/>
          <w:szCs w:val="22"/>
        </w:rPr>
        <w:t>Acesso em: 18 de nov. 2024.</w:t>
      </w:r>
    </w:p>
    <w:p w14:paraId="7D70DD01" w14:textId="365A8389" w:rsidR="002641DE" w:rsidRPr="00A509D8" w:rsidRDefault="002641DE" w:rsidP="007A5BB3">
      <w:pPr>
        <w:widowControl w:val="0"/>
        <w:tabs>
          <w:tab w:val="left" w:pos="220"/>
        </w:tabs>
        <w:spacing w:after="120" w:line="360" w:lineRule="auto"/>
        <w:rPr>
          <w:rFonts w:ascii="Arial" w:hAnsi="Arial" w:cs="Arial"/>
          <w:shd w:val="clear" w:color="auto" w:fill="FFFFFF"/>
        </w:rPr>
      </w:pPr>
      <w:r w:rsidRPr="00A509D8">
        <w:rPr>
          <w:rFonts w:ascii="Arial" w:hAnsi="Arial" w:cs="Arial"/>
          <w:szCs w:val="22"/>
        </w:rPr>
        <w:t xml:space="preserve">TSE. </w:t>
      </w:r>
      <w:r w:rsidRPr="00A509D8">
        <w:rPr>
          <w:rFonts w:ascii="Arial" w:hAnsi="Arial" w:cs="Arial"/>
          <w:shd w:val="clear" w:color="auto" w:fill="FFFFFF"/>
        </w:rPr>
        <w:t>Congresso Nacional aprovou R$ 4,9 bilhões de Fundo Eleitoral para o financiamento das campanhas neste ano</w:t>
      </w:r>
      <w:r w:rsidR="00340DF9" w:rsidRPr="00A509D8">
        <w:rPr>
          <w:rFonts w:ascii="Arial" w:hAnsi="Arial" w:cs="Arial"/>
          <w:shd w:val="clear" w:color="auto" w:fill="FFFFFF"/>
        </w:rPr>
        <w:t>. 2024</w:t>
      </w:r>
      <w:r w:rsidRPr="00A509D8">
        <w:rPr>
          <w:rFonts w:ascii="Arial" w:hAnsi="Arial" w:cs="Arial"/>
          <w:shd w:val="clear" w:color="auto" w:fill="FFFFFF"/>
        </w:rPr>
        <w:t>. Disponível em:</w:t>
      </w:r>
    </w:p>
    <w:p w14:paraId="10D493F0" w14:textId="064B9309" w:rsidR="002641DE" w:rsidRPr="00A509D8" w:rsidRDefault="000453C4" w:rsidP="007A5BB3">
      <w:pPr>
        <w:widowControl w:val="0"/>
        <w:tabs>
          <w:tab w:val="left" w:pos="220"/>
        </w:tabs>
        <w:spacing w:after="120" w:line="360" w:lineRule="auto"/>
        <w:rPr>
          <w:rFonts w:ascii="Arial" w:hAnsi="Arial" w:cs="Arial"/>
        </w:rPr>
      </w:pPr>
      <w:hyperlink r:id="rId23" w:history="1">
        <w:r w:rsidR="002641DE" w:rsidRPr="00A509D8">
          <w:rPr>
            <w:rStyle w:val="Hyperlink"/>
            <w:rFonts w:ascii="Arial" w:hAnsi="Arial" w:cs="Arial"/>
            <w:color w:val="auto"/>
            <w:u w:val="none"/>
          </w:rPr>
          <w:t>https://www.tse.jus.br/comunicacao/noticias/2024/Fevereiro/eleicoes-2024-confira-6-pontos-essenciais-sobre-o-fundo-eleitoral</w:t>
        </w:r>
      </w:hyperlink>
      <w:r w:rsidR="002641DE" w:rsidRPr="00A509D8">
        <w:rPr>
          <w:rFonts w:ascii="Arial" w:hAnsi="Arial" w:cs="Arial"/>
        </w:rPr>
        <w:t xml:space="preserve">. </w:t>
      </w:r>
      <w:r w:rsidR="002641DE" w:rsidRPr="00A509D8">
        <w:rPr>
          <w:rFonts w:ascii="Arial" w:hAnsi="Arial" w:cs="Arial"/>
          <w:szCs w:val="22"/>
        </w:rPr>
        <w:t>Acesso em: 18 de nov. 2024.</w:t>
      </w:r>
    </w:p>
    <w:p w14:paraId="4A23142E" w14:textId="254B8FD9" w:rsidR="00E25B20" w:rsidRPr="00A509D8" w:rsidRDefault="007919EB" w:rsidP="007A5BB3">
      <w:pPr>
        <w:widowControl w:val="0"/>
        <w:tabs>
          <w:tab w:val="left" w:pos="220"/>
        </w:tabs>
        <w:spacing w:after="120" w:line="360" w:lineRule="auto"/>
        <w:rPr>
          <w:rFonts w:ascii="Arial" w:hAnsi="Arial" w:cs="Arial"/>
          <w:szCs w:val="22"/>
        </w:rPr>
      </w:pPr>
      <w:r w:rsidRPr="00A509D8">
        <w:rPr>
          <w:rFonts w:ascii="Arial" w:hAnsi="Arial" w:cs="Arial"/>
          <w:szCs w:val="22"/>
        </w:rPr>
        <w:t>VASCONCELOS, Clever. Direito Eleitoral. 3. ed. São Paulo: Saraiva, 2022. E-book.</w:t>
      </w:r>
      <w:r w:rsidR="00617691" w:rsidRPr="00A509D8">
        <w:rPr>
          <w:rFonts w:ascii="Arial" w:hAnsi="Arial" w:cs="Arial"/>
          <w:szCs w:val="22"/>
        </w:rPr>
        <w:t xml:space="preserve"> </w:t>
      </w:r>
      <w:hyperlink r:id="rId24" w:history="1">
        <w:r w:rsidR="00E25B20" w:rsidRPr="00A509D8">
          <w:rPr>
            <w:rStyle w:val="Hyperlink"/>
            <w:rFonts w:ascii="Arial" w:hAnsi="Arial" w:cs="Arial"/>
            <w:color w:val="auto"/>
            <w:szCs w:val="22"/>
            <w:u w:val="none"/>
          </w:rPr>
          <w:t>https://www.editoradodireito.com.br/livro-direito-eleitoral-saraiva-jur-9786553621688</w:t>
        </w:r>
      </w:hyperlink>
    </w:p>
    <w:p w14:paraId="5E074E22" w14:textId="71257AC5" w:rsidR="00413511" w:rsidRPr="00A509D8" w:rsidRDefault="007919EB" w:rsidP="007A5BB3">
      <w:pPr>
        <w:widowControl w:val="0"/>
        <w:tabs>
          <w:tab w:val="left" w:pos="220"/>
        </w:tabs>
        <w:spacing w:after="120" w:line="360" w:lineRule="auto"/>
        <w:rPr>
          <w:rFonts w:ascii="Arial" w:hAnsi="Arial" w:cs="Arial"/>
          <w:szCs w:val="22"/>
        </w:rPr>
      </w:pPr>
      <w:r w:rsidRPr="00A509D8">
        <w:rPr>
          <w:rFonts w:ascii="Arial" w:hAnsi="Arial" w:cs="Arial"/>
          <w:szCs w:val="22"/>
        </w:rPr>
        <w:t>VELLOSO, C. M. D. S.; AGRA, W. D. M. Elementos de Direito Eleitoral. 8. ed. São Paulo: Saraiva, 2023. E-book.</w:t>
      </w:r>
      <w:r w:rsidR="00617691" w:rsidRPr="00A509D8">
        <w:rPr>
          <w:rFonts w:ascii="Arial" w:hAnsi="Arial" w:cs="Arial"/>
          <w:szCs w:val="22"/>
        </w:rPr>
        <w:t xml:space="preserve"> </w:t>
      </w:r>
      <w:r w:rsidR="00413511" w:rsidRPr="00A509D8">
        <w:rPr>
          <w:rFonts w:ascii="Arial" w:hAnsi="Arial" w:cs="Arial"/>
          <w:szCs w:val="22"/>
        </w:rPr>
        <w:t>Disponível em:</w:t>
      </w:r>
    </w:p>
    <w:p w14:paraId="68126ABA" w14:textId="1705D087" w:rsidR="00830283" w:rsidRPr="00A509D8" w:rsidRDefault="000453C4" w:rsidP="007A5BB3">
      <w:pPr>
        <w:widowControl w:val="0"/>
        <w:tabs>
          <w:tab w:val="left" w:pos="220"/>
        </w:tabs>
        <w:spacing w:after="120" w:line="360" w:lineRule="auto"/>
        <w:rPr>
          <w:rFonts w:ascii="Arial" w:hAnsi="Arial" w:cs="Arial"/>
          <w:szCs w:val="22"/>
        </w:rPr>
      </w:pPr>
      <w:hyperlink r:id="rId25" w:history="1">
        <w:r w:rsidR="00413511" w:rsidRPr="00A509D8">
          <w:rPr>
            <w:rStyle w:val="Hyperlink"/>
            <w:rFonts w:ascii="Arial" w:hAnsi="Arial" w:cs="Arial"/>
            <w:color w:val="auto"/>
            <w:szCs w:val="22"/>
            <w:u w:val="none"/>
          </w:rPr>
          <w:t>https://integrada.minhabiblioteca.com.br/reader/books/9786555598810/epubcfi/6/2%5B%3Bvnd.vst.idref%3DCapa.xhtml%5D!/4/2</w:t>
        </w:r>
      </w:hyperlink>
      <w:r w:rsidR="00E25B20" w:rsidRPr="00A509D8">
        <w:rPr>
          <w:rFonts w:ascii="Arial" w:hAnsi="Arial" w:cs="Arial"/>
          <w:szCs w:val="22"/>
        </w:rPr>
        <w:t xml:space="preserve"> </w:t>
      </w:r>
      <w:r w:rsidR="00413511" w:rsidRPr="00A509D8">
        <w:rPr>
          <w:rFonts w:ascii="Arial" w:hAnsi="Arial" w:cs="Arial"/>
          <w:szCs w:val="22"/>
        </w:rPr>
        <w:t>Acesso 10 out. 2024.</w:t>
      </w:r>
    </w:p>
    <w:sectPr w:rsidR="00830283" w:rsidRPr="00A509D8">
      <w:headerReference w:type="default" r:id="rId26"/>
      <w:pgSz w:w="11906" w:h="16838"/>
      <w:pgMar w:top="1701" w:right="1134" w:bottom="1134" w:left="1701" w:header="454" w:footer="17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5EBD50" w14:textId="77777777" w:rsidR="000453C4" w:rsidRDefault="000453C4">
      <w:r>
        <w:separator/>
      </w:r>
    </w:p>
  </w:endnote>
  <w:endnote w:type="continuationSeparator" w:id="0">
    <w:p w14:paraId="23CD1119" w14:textId="77777777" w:rsidR="000453C4" w:rsidRDefault="000453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2F5CA1" w14:textId="77777777" w:rsidR="00EA0D92" w:rsidRDefault="00EA0D92">
    <w:pPr>
      <w:pStyle w:val="Rodap"/>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71" w:type="dxa"/>
      <w:tblLayout w:type="fixed"/>
      <w:tblCellMar>
        <w:left w:w="10" w:type="dxa"/>
        <w:right w:w="10" w:type="dxa"/>
      </w:tblCellMar>
      <w:tblLook w:val="0000" w:firstRow="0" w:lastRow="0" w:firstColumn="0" w:lastColumn="0" w:noHBand="0" w:noVBand="0"/>
    </w:tblPr>
    <w:tblGrid>
      <w:gridCol w:w="3003"/>
      <w:gridCol w:w="3063"/>
      <w:gridCol w:w="3005"/>
    </w:tblGrid>
    <w:tr w:rsidR="00E259BC" w14:paraId="161C5C74" w14:textId="77777777">
      <w:tc>
        <w:tcPr>
          <w:tcW w:w="3003" w:type="dxa"/>
          <w:shd w:val="clear" w:color="auto" w:fill="auto"/>
          <w:tcMar>
            <w:top w:w="0" w:type="dxa"/>
            <w:left w:w="108" w:type="dxa"/>
            <w:bottom w:w="0" w:type="dxa"/>
            <w:right w:w="108" w:type="dxa"/>
          </w:tcMar>
        </w:tcPr>
        <w:p w14:paraId="0F12F185" w14:textId="77777777" w:rsidR="00E259BC" w:rsidRDefault="000453C4">
          <w:pPr>
            <w:pStyle w:val="Rodap"/>
            <w:widowControl w:val="0"/>
            <w:rPr>
              <w:rFonts w:ascii="Arial" w:hAnsi="Arial" w:cs="Arial"/>
              <w:sz w:val="20"/>
              <w:szCs w:val="20"/>
            </w:rPr>
          </w:pPr>
        </w:p>
      </w:tc>
      <w:tc>
        <w:tcPr>
          <w:tcW w:w="3063" w:type="dxa"/>
          <w:shd w:val="clear" w:color="auto" w:fill="auto"/>
          <w:tcMar>
            <w:top w:w="0" w:type="dxa"/>
            <w:left w:w="108" w:type="dxa"/>
            <w:bottom w:w="0" w:type="dxa"/>
            <w:right w:w="108" w:type="dxa"/>
          </w:tcMar>
        </w:tcPr>
        <w:p w14:paraId="64C83216" w14:textId="77777777" w:rsidR="00E259BC" w:rsidRDefault="007919EB">
          <w:pPr>
            <w:pStyle w:val="Rodap"/>
            <w:widowControl w:val="0"/>
            <w:jc w:val="center"/>
            <w:rPr>
              <w:rFonts w:ascii="Arial" w:hAnsi="Arial" w:cs="Arial"/>
              <w:sz w:val="20"/>
              <w:szCs w:val="20"/>
            </w:rPr>
          </w:pPr>
          <w:r>
            <w:rPr>
              <w:rFonts w:ascii="Arial" w:hAnsi="Arial" w:cs="Arial"/>
              <w:sz w:val="20"/>
              <w:szCs w:val="20"/>
            </w:rPr>
            <w:t>www.unifoa.edu.br/editorafoa</w:t>
          </w:r>
        </w:p>
      </w:tc>
      <w:tc>
        <w:tcPr>
          <w:tcW w:w="3005" w:type="dxa"/>
          <w:shd w:val="clear" w:color="auto" w:fill="auto"/>
          <w:tcMar>
            <w:top w:w="0" w:type="dxa"/>
            <w:left w:w="108" w:type="dxa"/>
            <w:bottom w:w="0" w:type="dxa"/>
            <w:right w:w="108" w:type="dxa"/>
          </w:tcMar>
        </w:tcPr>
        <w:p w14:paraId="6F366DBA" w14:textId="77777777" w:rsidR="00E259BC" w:rsidRDefault="000453C4">
          <w:pPr>
            <w:pStyle w:val="Cabealho"/>
            <w:widowControl w:val="0"/>
            <w:jc w:val="right"/>
            <w:rPr>
              <w:rFonts w:cs="Arial"/>
              <w:b w:val="0"/>
              <w:szCs w:val="20"/>
            </w:rPr>
          </w:pPr>
        </w:p>
      </w:tc>
    </w:tr>
  </w:tbl>
  <w:p w14:paraId="5913868F" w14:textId="77777777" w:rsidR="00E259BC" w:rsidRDefault="000453C4">
    <w:pPr>
      <w:pStyle w:val="Rodap"/>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1A768" w14:textId="77777777" w:rsidR="00EA0D92" w:rsidRDefault="00EA0D92">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B6B975" w14:textId="77777777" w:rsidR="000453C4" w:rsidRDefault="000453C4">
      <w:r>
        <w:rPr>
          <w:color w:val="000000"/>
        </w:rPr>
        <w:separator/>
      </w:r>
    </w:p>
  </w:footnote>
  <w:footnote w:type="continuationSeparator" w:id="0">
    <w:p w14:paraId="7B56EA25" w14:textId="77777777" w:rsidR="000453C4" w:rsidRDefault="000453C4">
      <w:r>
        <w:continuationSeparator/>
      </w:r>
    </w:p>
  </w:footnote>
  <w:footnote w:id="1">
    <w:p w14:paraId="2494264B" w14:textId="77777777" w:rsidR="009315E2" w:rsidRDefault="009315E2">
      <w:pPr>
        <w:pStyle w:val="Textodenotaderodap"/>
      </w:pPr>
      <w:r>
        <w:rPr>
          <w:rStyle w:val="Refdenotaderodap"/>
        </w:rPr>
        <w:footnoteRef/>
      </w:r>
      <w:r>
        <w:t xml:space="preserve"> </w:t>
      </w:r>
      <w:r w:rsidR="00ED7C02">
        <w:rPr>
          <w:rFonts w:ascii="Arial" w:hAnsi="Arial" w:cs="Arial"/>
          <w:i/>
        </w:rPr>
        <w:t>A</w:t>
      </w:r>
      <w:r w:rsidR="00ED7C02" w:rsidRPr="009315E2">
        <w:rPr>
          <w:rFonts w:ascii="Arial" w:hAnsi="Arial" w:cs="Arial"/>
          <w:i/>
        </w:rPr>
        <w:t>ccountability</w:t>
      </w:r>
      <w:r w:rsidR="00ED7C02">
        <w:rPr>
          <w:rFonts w:ascii="Arial" w:hAnsi="Arial" w:cs="Arial"/>
          <w:i/>
        </w:rPr>
        <w:t xml:space="preserve"> - </w:t>
      </w:r>
      <w:r w:rsidR="00ED7C02" w:rsidRPr="00A509D8">
        <w:rPr>
          <w:rFonts w:ascii="Arial" w:hAnsi="Arial" w:cs="Arial"/>
          <w:shd w:val="clear" w:color="auto" w:fill="FAFAFA"/>
        </w:rPr>
        <w:t xml:space="preserve">Accountability é um termo inglês utilizado para descrever as práticas relacionadas à prestação de contas.Disponível em: </w:t>
      </w:r>
      <w:hyperlink r:id="rId1" w:history="1">
        <w:r w:rsidR="00ED7C02" w:rsidRPr="00A509D8">
          <w:rPr>
            <w:rStyle w:val="Hyperlink"/>
            <w:rFonts w:ascii="Arial" w:hAnsi="Arial" w:cs="Arial"/>
            <w:color w:val="auto"/>
            <w:u w:val="none"/>
            <w:shd w:val="clear" w:color="auto" w:fill="FAFAFA"/>
          </w:rPr>
          <w:t>https://www.cnnbrasil.com.br/economia/macroeconomia/o-que-e-accountability-conheca-o-termo-que-ajuda-a-repensar-direitos-e-deveres/</w:t>
        </w:r>
      </w:hyperlink>
      <w:r w:rsidR="00ED7C02" w:rsidRPr="00A509D8">
        <w:rPr>
          <w:rFonts w:ascii="Arial" w:hAnsi="Arial" w:cs="Arial"/>
          <w:shd w:val="clear" w:color="auto" w:fill="FAFAFA"/>
        </w:rPr>
        <w:t xml:space="preserve"> Acesso em: nov. de 2024. </w:t>
      </w:r>
    </w:p>
  </w:footnote>
  <w:footnote w:id="2">
    <w:p w14:paraId="628DD772" w14:textId="77777777" w:rsidR="00AB0FF0" w:rsidRPr="00793A0A" w:rsidRDefault="00AB0FF0">
      <w:pPr>
        <w:pStyle w:val="Textodenotaderodap"/>
        <w:rPr>
          <w:rFonts w:ascii="Arial" w:hAnsi="Arial" w:cs="Arial"/>
        </w:rPr>
      </w:pPr>
      <w:r w:rsidRPr="00793A0A">
        <w:rPr>
          <w:rStyle w:val="Refdenotaderodap"/>
          <w:rFonts w:ascii="Arial" w:hAnsi="Arial" w:cs="Arial"/>
        </w:rPr>
        <w:footnoteRef/>
      </w:r>
      <w:r w:rsidRPr="00793A0A">
        <w:rPr>
          <w:rFonts w:ascii="Arial" w:hAnsi="Arial" w:cs="Arial"/>
        </w:rPr>
        <w:t xml:space="preserve"> </w:t>
      </w:r>
      <w:r w:rsidRPr="00793A0A">
        <w:rPr>
          <w:rFonts w:ascii="Arial" w:hAnsi="Arial" w:cs="Arial"/>
          <w:i/>
        </w:rPr>
        <w:t xml:space="preserve">Compliance - </w:t>
      </w:r>
      <w:r w:rsidRPr="00793A0A">
        <w:rPr>
          <w:rFonts w:ascii="Arial" w:hAnsi="Arial" w:cs="Arial"/>
          <w:color w:val="4D5156"/>
          <w:shd w:val="clear" w:color="auto" w:fill="FFFFFF"/>
        </w:rPr>
        <w:t xml:space="preserve">é a estrutura organizacional responsável </w:t>
      </w:r>
      <w:r w:rsidRPr="00A509D8">
        <w:rPr>
          <w:rFonts w:ascii="Arial" w:hAnsi="Arial" w:cs="Arial"/>
          <w:shd w:val="clear" w:color="auto" w:fill="FFFFFF"/>
        </w:rPr>
        <w:t>por promover e zelar pela integridade corporativa e pelo cumprimento das normas</w:t>
      </w:r>
      <w:r w:rsidR="00793A0A" w:rsidRPr="00A509D8">
        <w:rPr>
          <w:rFonts w:ascii="Arial" w:hAnsi="Arial" w:cs="Arial"/>
          <w:shd w:val="clear" w:color="auto" w:fill="FFFFFF"/>
        </w:rPr>
        <w:t xml:space="preserve">. Disponível em: </w:t>
      </w:r>
      <w:hyperlink r:id="rId2" w:history="1">
        <w:r w:rsidR="00793A0A" w:rsidRPr="00A509D8">
          <w:rPr>
            <w:rStyle w:val="Hyperlink"/>
            <w:rFonts w:ascii="Arial" w:hAnsi="Arial" w:cs="Arial"/>
            <w:color w:val="auto"/>
            <w:u w:val="none"/>
            <w:shd w:val="clear" w:color="auto" w:fill="FFFFFF"/>
          </w:rPr>
          <w:t>https://www.compliancecomporte.com.br/</w:t>
        </w:r>
      </w:hyperlink>
      <w:r w:rsidR="00793A0A" w:rsidRPr="00A509D8">
        <w:rPr>
          <w:rFonts w:ascii="Arial" w:hAnsi="Arial" w:cs="Arial"/>
          <w:shd w:val="clear" w:color="auto" w:fill="FFFFFF"/>
        </w:rPr>
        <w:t xml:space="preserve"> </w:t>
      </w:r>
      <w:r w:rsidR="00793A0A">
        <w:rPr>
          <w:rFonts w:ascii="Arial" w:hAnsi="Arial" w:cs="Arial"/>
          <w:color w:val="4D5156"/>
          <w:shd w:val="clear" w:color="auto" w:fill="FFFFFF"/>
        </w:rPr>
        <w:t>Acesso em: nov. de 2024.</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C54E93" w14:textId="77777777" w:rsidR="00EA0D92" w:rsidRDefault="00EA0D92">
    <w:pPr>
      <w:pStyle w:val="Cabealh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FB86D" w14:textId="77777777" w:rsidR="00E259BC" w:rsidRDefault="007919EB">
    <w:pPr>
      <w:pStyle w:val="Cabealho"/>
      <w:jc w:val="left"/>
    </w:pPr>
    <w:r>
      <w:rPr>
        <w:noProof/>
      </w:rPr>
      <w:drawing>
        <wp:anchor distT="0" distB="0" distL="114300" distR="114300" simplePos="0" relativeHeight="251659264" behindDoc="1" locked="0" layoutInCell="1" allowOverlap="1" wp14:anchorId="67B8E111" wp14:editId="3A9F390B">
          <wp:simplePos x="0" y="0"/>
          <wp:positionH relativeFrom="column">
            <wp:posOffset>4772025</wp:posOffset>
          </wp:positionH>
          <wp:positionV relativeFrom="paragraph">
            <wp:posOffset>111127</wp:posOffset>
          </wp:positionV>
          <wp:extent cx="1257300" cy="535938"/>
          <wp:effectExtent l="0" t="0" r="0" b="0"/>
          <wp:wrapNone/>
          <wp:docPr id="1" name="Picture 11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1257300" cy="535938"/>
                  </a:xfrm>
                  <a:prstGeom prst="rect">
                    <a:avLst/>
                  </a:prstGeom>
                  <a:noFill/>
                  <a:ln>
                    <a:noFill/>
                    <a:prstDash/>
                  </a:ln>
                </pic:spPr>
              </pic:pic>
            </a:graphicData>
          </a:graphic>
        </wp:anchor>
      </w:drawing>
    </w:r>
    <w:r>
      <w:rPr>
        <w:noProof/>
      </w:rPr>
      <w:drawing>
        <wp:inline distT="0" distB="0" distL="0" distR="0" wp14:anchorId="095C3C1B" wp14:editId="327A9ADF">
          <wp:extent cx="790571" cy="647696"/>
          <wp:effectExtent l="0" t="0" r="0" b="4"/>
          <wp:docPr id="2" name="Imagem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tretch>
                    <a:fillRect/>
                  </a:stretch>
                </pic:blipFill>
                <pic:spPr>
                  <a:xfrm>
                    <a:off x="0" y="0"/>
                    <a:ext cx="790571" cy="647696"/>
                  </a:xfrm>
                  <a:prstGeom prst="rect">
                    <a:avLst/>
                  </a:prstGeom>
                  <a:noFill/>
                  <a:ln>
                    <a:noFill/>
                    <a:prstDash/>
                  </a:ln>
                </pic:spPr>
              </pic:pic>
            </a:graphicData>
          </a:graphic>
        </wp:inline>
      </w:drawing>
    </w:r>
    <w: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DF974B" w14:textId="77777777" w:rsidR="00EA0D92" w:rsidRDefault="00EA0D92">
    <w:pPr>
      <w:pStyle w:val="Cabealh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5912250"/>
      <w:docPartObj>
        <w:docPartGallery w:val="Page Numbers (Top of Page)"/>
        <w:docPartUnique/>
      </w:docPartObj>
    </w:sdtPr>
    <w:sdtEndPr/>
    <w:sdtContent>
      <w:p w14:paraId="529D684D" w14:textId="63458820" w:rsidR="00EA0D92" w:rsidRDefault="00EA0D92">
        <w:pPr>
          <w:pStyle w:val="Cabealho"/>
          <w:jc w:val="right"/>
        </w:pPr>
        <w:r>
          <w:fldChar w:fldCharType="begin"/>
        </w:r>
        <w:r>
          <w:instrText>PAGE   \* MERGEFORMAT</w:instrText>
        </w:r>
        <w:r>
          <w:fldChar w:fldCharType="separate"/>
        </w:r>
        <w:r w:rsidR="003337AB">
          <w:rPr>
            <w:noProof/>
          </w:rPr>
          <w:t>9</w:t>
        </w:r>
        <w:r>
          <w:fldChar w:fldCharType="end"/>
        </w:r>
      </w:p>
    </w:sdtContent>
  </w:sdt>
  <w:p w14:paraId="22952FDF" w14:textId="6F956DAD" w:rsidR="00EA0D92" w:rsidRDefault="00EA0D92">
    <w:pPr>
      <w:pStyle w:val="Cabealho"/>
      <w:jc w:val="lef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283"/>
    <w:rsid w:val="00004764"/>
    <w:rsid w:val="00015B9D"/>
    <w:rsid w:val="00022C2C"/>
    <w:rsid w:val="00025890"/>
    <w:rsid w:val="0003410C"/>
    <w:rsid w:val="000453C4"/>
    <w:rsid w:val="00047B5C"/>
    <w:rsid w:val="00074C37"/>
    <w:rsid w:val="000C5955"/>
    <w:rsid w:val="000D1DB6"/>
    <w:rsid w:val="000D4A7E"/>
    <w:rsid w:val="000E09B6"/>
    <w:rsid w:val="000F2D70"/>
    <w:rsid w:val="000F34CB"/>
    <w:rsid w:val="000F3EFF"/>
    <w:rsid w:val="00112ADD"/>
    <w:rsid w:val="001323AF"/>
    <w:rsid w:val="0018154B"/>
    <w:rsid w:val="001A17CF"/>
    <w:rsid w:val="001A6943"/>
    <w:rsid w:val="001C20E8"/>
    <w:rsid w:val="001F5E3E"/>
    <w:rsid w:val="0020371C"/>
    <w:rsid w:val="0023606B"/>
    <w:rsid w:val="00240BB6"/>
    <w:rsid w:val="00254302"/>
    <w:rsid w:val="002604A5"/>
    <w:rsid w:val="002641DE"/>
    <w:rsid w:val="002662B4"/>
    <w:rsid w:val="002834AE"/>
    <w:rsid w:val="002A0C27"/>
    <w:rsid w:val="002A5200"/>
    <w:rsid w:val="002F3CE9"/>
    <w:rsid w:val="003043EF"/>
    <w:rsid w:val="00314217"/>
    <w:rsid w:val="003337AB"/>
    <w:rsid w:val="00337874"/>
    <w:rsid w:val="00340DF9"/>
    <w:rsid w:val="00345D4C"/>
    <w:rsid w:val="00370978"/>
    <w:rsid w:val="003B399C"/>
    <w:rsid w:val="00402A66"/>
    <w:rsid w:val="004047FC"/>
    <w:rsid w:val="00413511"/>
    <w:rsid w:val="0042144A"/>
    <w:rsid w:val="00433DC8"/>
    <w:rsid w:val="0045030F"/>
    <w:rsid w:val="00464C9A"/>
    <w:rsid w:val="00464CA7"/>
    <w:rsid w:val="0047423E"/>
    <w:rsid w:val="00481406"/>
    <w:rsid w:val="004A0D03"/>
    <w:rsid w:val="004B4670"/>
    <w:rsid w:val="004F5A51"/>
    <w:rsid w:val="00514005"/>
    <w:rsid w:val="00533F1A"/>
    <w:rsid w:val="00587D81"/>
    <w:rsid w:val="005A4631"/>
    <w:rsid w:val="005B3FE5"/>
    <w:rsid w:val="005C5939"/>
    <w:rsid w:val="005F2460"/>
    <w:rsid w:val="0061353A"/>
    <w:rsid w:val="00617691"/>
    <w:rsid w:val="00656667"/>
    <w:rsid w:val="00687A72"/>
    <w:rsid w:val="006A52DA"/>
    <w:rsid w:val="006D074B"/>
    <w:rsid w:val="006F13C6"/>
    <w:rsid w:val="00715119"/>
    <w:rsid w:val="007166D2"/>
    <w:rsid w:val="00775D6E"/>
    <w:rsid w:val="00782581"/>
    <w:rsid w:val="007919EB"/>
    <w:rsid w:val="00793A0A"/>
    <w:rsid w:val="0079488C"/>
    <w:rsid w:val="007A5BB3"/>
    <w:rsid w:val="007C3786"/>
    <w:rsid w:val="007C7743"/>
    <w:rsid w:val="007C7836"/>
    <w:rsid w:val="007E5A1F"/>
    <w:rsid w:val="00800D99"/>
    <w:rsid w:val="00830283"/>
    <w:rsid w:val="0083743C"/>
    <w:rsid w:val="008503C9"/>
    <w:rsid w:val="008D0EE8"/>
    <w:rsid w:val="0091690B"/>
    <w:rsid w:val="009315E2"/>
    <w:rsid w:val="00945651"/>
    <w:rsid w:val="00947502"/>
    <w:rsid w:val="009630EF"/>
    <w:rsid w:val="00971BD1"/>
    <w:rsid w:val="00981ACC"/>
    <w:rsid w:val="009B65D7"/>
    <w:rsid w:val="009F501B"/>
    <w:rsid w:val="00A0147B"/>
    <w:rsid w:val="00A04A98"/>
    <w:rsid w:val="00A509D8"/>
    <w:rsid w:val="00A54CAF"/>
    <w:rsid w:val="00A56DC6"/>
    <w:rsid w:val="00A6085A"/>
    <w:rsid w:val="00A700B7"/>
    <w:rsid w:val="00AA70D7"/>
    <w:rsid w:val="00AB0FF0"/>
    <w:rsid w:val="00AC0FC1"/>
    <w:rsid w:val="00AC36A3"/>
    <w:rsid w:val="00AD1879"/>
    <w:rsid w:val="00AD1FF7"/>
    <w:rsid w:val="00AD3DF1"/>
    <w:rsid w:val="00AD6DA0"/>
    <w:rsid w:val="00AF3256"/>
    <w:rsid w:val="00AF379D"/>
    <w:rsid w:val="00AF58A6"/>
    <w:rsid w:val="00AF6DE3"/>
    <w:rsid w:val="00B048A7"/>
    <w:rsid w:val="00B777FD"/>
    <w:rsid w:val="00B83508"/>
    <w:rsid w:val="00BA142C"/>
    <w:rsid w:val="00BB368E"/>
    <w:rsid w:val="00BB509D"/>
    <w:rsid w:val="00BB5199"/>
    <w:rsid w:val="00BC48A0"/>
    <w:rsid w:val="00BC6D9D"/>
    <w:rsid w:val="00BF104C"/>
    <w:rsid w:val="00BF20F6"/>
    <w:rsid w:val="00C020E6"/>
    <w:rsid w:val="00C10323"/>
    <w:rsid w:val="00C22F2C"/>
    <w:rsid w:val="00C40C7D"/>
    <w:rsid w:val="00C41967"/>
    <w:rsid w:val="00C51812"/>
    <w:rsid w:val="00C5231A"/>
    <w:rsid w:val="00C70728"/>
    <w:rsid w:val="00C94399"/>
    <w:rsid w:val="00CB3E5C"/>
    <w:rsid w:val="00CB7D6C"/>
    <w:rsid w:val="00CD11DA"/>
    <w:rsid w:val="00CE095D"/>
    <w:rsid w:val="00CE24A0"/>
    <w:rsid w:val="00CE2535"/>
    <w:rsid w:val="00CF5A35"/>
    <w:rsid w:val="00D317AE"/>
    <w:rsid w:val="00D46546"/>
    <w:rsid w:val="00D82EC6"/>
    <w:rsid w:val="00D87187"/>
    <w:rsid w:val="00DF220F"/>
    <w:rsid w:val="00E052D2"/>
    <w:rsid w:val="00E102D0"/>
    <w:rsid w:val="00E25B20"/>
    <w:rsid w:val="00E30A4C"/>
    <w:rsid w:val="00E345F4"/>
    <w:rsid w:val="00E37E37"/>
    <w:rsid w:val="00E5350F"/>
    <w:rsid w:val="00E842F7"/>
    <w:rsid w:val="00E862F7"/>
    <w:rsid w:val="00EA0D92"/>
    <w:rsid w:val="00EA3992"/>
    <w:rsid w:val="00EB0466"/>
    <w:rsid w:val="00EC6574"/>
    <w:rsid w:val="00ED7C02"/>
    <w:rsid w:val="00EE65BD"/>
    <w:rsid w:val="00F26ECA"/>
    <w:rsid w:val="00F44E2B"/>
    <w:rsid w:val="00F52B72"/>
    <w:rsid w:val="00F52F27"/>
    <w:rsid w:val="00F8258E"/>
    <w:rsid w:val="00FB300D"/>
    <w:rsid w:val="00FB6943"/>
    <w:rsid w:val="00FC4F34"/>
    <w:rsid w:val="00FC5E92"/>
    <w:rsid w:val="00FD75D1"/>
    <w:rsid w:val="00FD7D50"/>
    <w:rsid w:val="00FE6DB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CCE034"/>
  <w15:docId w15:val="{C9986E44-2230-431D-827C-3308241032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Times New Roman"/>
        <w:lang w:val="pt-BR" w:eastAsia="pt-BR" w:bidi="ar-SA"/>
      </w:rPr>
    </w:rPrDefault>
    <w:pPrDefault>
      <w:pPr>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jc w:val="both"/>
    </w:pPr>
    <w:rPr>
      <w:rFonts w:ascii="Times New Roman" w:hAnsi="Times New Roman"/>
      <w:sz w:val="24"/>
      <w:szCs w:val="24"/>
    </w:rPr>
  </w:style>
  <w:style w:type="paragraph" w:styleId="Ttulo1">
    <w:name w:val="heading 1"/>
    <w:basedOn w:val="Normal"/>
    <w:next w:val="Normal"/>
    <w:pPr>
      <w:keepNext/>
      <w:spacing w:before="240" w:after="60"/>
      <w:outlineLvl w:val="0"/>
    </w:pPr>
    <w:rPr>
      <w:rFonts w:ascii="Cambria" w:eastAsia="Times New Roman" w:hAnsi="Cambria"/>
      <w:b/>
      <w:bCs/>
      <w:kern w:val="3"/>
      <w:sz w:val="32"/>
      <w:szCs w:val="32"/>
    </w:rPr>
  </w:style>
  <w:style w:type="paragraph" w:styleId="Ttulo2">
    <w:name w:val="heading 2"/>
    <w:basedOn w:val="Normal"/>
    <w:next w:val="Normal"/>
    <w:pPr>
      <w:keepNext/>
      <w:spacing w:before="240" w:after="60"/>
      <w:outlineLvl w:val="1"/>
    </w:pPr>
    <w:rPr>
      <w:rFonts w:ascii="Cambria" w:eastAsia="Times New Roman" w:hAnsi="Cambria"/>
      <w:b/>
      <w:bCs/>
      <w:i/>
      <w:iCs/>
      <w:sz w:val="28"/>
      <w:szCs w:val="28"/>
    </w:rPr>
  </w:style>
  <w:style w:type="paragraph" w:styleId="Ttulo6">
    <w:name w:val="heading 6"/>
    <w:basedOn w:val="Normal"/>
    <w:next w:val="Normal"/>
    <w:pPr>
      <w:keepNext/>
      <w:keepLines/>
      <w:spacing w:before="40"/>
      <w:outlineLvl w:val="5"/>
    </w:pPr>
    <w:rPr>
      <w:rFonts w:ascii="Cambria" w:eastAsia="Cambria" w:hAnsi="Cambria" w:cs="Cambria"/>
      <w:color w:val="243F6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BodyText2Char">
    <w:name w:val="Body Text 2 Char"/>
    <w:rPr>
      <w:rFonts w:ascii="Times New Roman" w:eastAsia="Calibri" w:hAnsi="Times New Roman" w:cs="Times New Roman"/>
      <w:sz w:val="24"/>
      <w:szCs w:val="20"/>
      <w:lang w:eastAsia="pt-BR"/>
    </w:rPr>
  </w:style>
  <w:style w:type="character" w:customStyle="1" w:styleId="TitleChar">
    <w:name w:val="Title Char"/>
    <w:rPr>
      <w:b/>
      <w:sz w:val="24"/>
      <w:szCs w:val="24"/>
      <w:lang w:bidi="ar-SA"/>
    </w:rPr>
  </w:style>
  <w:style w:type="character" w:customStyle="1" w:styleId="LinkdaInternet">
    <w:name w:val="Link da Internet"/>
    <w:rPr>
      <w:color w:val="0000FF"/>
      <w:u w:val="single"/>
    </w:rPr>
  </w:style>
  <w:style w:type="character" w:styleId="Forte">
    <w:name w:val="Strong"/>
    <w:uiPriority w:val="22"/>
    <w:qFormat/>
    <w:rPr>
      <w:b/>
      <w:bCs/>
    </w:rPr>
  </w:style>
  <w:style w:type="character" w:customStyle="1" w:styleId="apple-converted-space">
    <w:name w:val="apple-converted-space"/>
    <w:basedOn w:val="Fontepargpadro"/>
  </w:style>
  <w:style w:type="character" w:customStyle="1" w:styleId="HeaderChar">
    <w:name w:val="Header Char"/>
    <w:rPr>
      <w:b/>
      <w:szCs w:val="24"/>
    </w:rPr>
  </w:style>
  <w:style w:type="character" w:customStyle="1" w:styleId="FooterChar">
    <w:name w:val="Footer Char"/>
    <w:rPr>
      <w:rFonts w:ascii="Times New Roman" w:hAnsi="Times New Roman"/>
      <w:sz w:val="24"/>
      <w:szCs w:val="24"/>
    </w:rPr>
  </w:style>
  <w:style w:type="character" w:customStyle="1" w:styleId="Heading1Char">
    <w:name w:val="Heading 1 Char"/>
    <w:rPr>
      <w:rFonts w:ascii="Cambria" w:eastAsia="Times New Roman" w:hAnsi="Cambria" w:cs="Times New Roman"/>
      <w:b/>
      <w:bCs/>
      <w:kern w:val="3"/>
      <w:sz w:val="32"/>
      <w:szCs w:val="32"/>
    </w:rPr>
  </w:style>
  <w:style w:type="character" w:customStyle="1" w:styleId="Heading2Char">
    <w:name w:val="Heading 2 Char"/>
    <w:rPr>
      <w:rFonts w:ascii="Cambria" w:eastAsia="Times New Roman" w:hAnsi="Cambria" w:cs="Times New Roman"/>
      <w:b/>
      <w:bCs/>
      <w:i/>
      <w:iCs/>
      <w:sz w:val="28"/>
      <w:szCs w:val="28"/>
    </w:rPr>
  </w:style>
  <w:style w:type="character" w:customStyle="1" w:styleId="SubtitleChar">
    <w:name w:val="Subtitle Char"/>
    <w:rPr>
      <w:rFonts w:ascii="Cambria" w:eastAsia="Times New Roman" w:hAnsi="Cambria" w:cs="Times New Roman"/>
      <w:sz w:val="24"/>
      <w:szCs w:val="24"/>
    </w:rPr>
  </w:style>
  <w:style w:type="character" w:styleId="nfaseSutil">
    <w:name w:val="Subtle Emphasis"/>
    <w:rPr>
      <w:i/>
      <w:iCs/>
      <w:color w:val="808080"/>
    </w:rPr>
  </w:style>
  <w:style w:type="character" w:customStyle="1" w:styleId="QuoteChar">
    <w:name w:val="Quote Char"/>
    <w:rPr>
      <w:rFonts w:ascii="Times New Roman" w:hAnsi="Times New Roman"/>
      <w:i/>
      <w:iCs/>
      <w:color w:val="000000"/>
      <w:sz w:val="24"/>
      <w:szCs w:val="24"/>
    </w:rPr>
  </w:style>
  <w:style w:type="character" w:customStyle="1" w:styleId="IntenseQuoteChar">
    <w:name w:val="Intense Quote Char"/>
    <w:rPr>
      <w:rFonts w:ascii="Times New Roman" w:hAnsi="Times New Roman"/>
      <w:b/>
      <w:bCs/>
      <w:i/>
      <w:iCs/>
      <w:color w:val="4F81BD"/>
      <w:sz w:val="24"/>
      <w:szCs w:val="24"/>
    </w:rPr>
  </w:style>
  <w:style w:type="character" w:styleId="RefernciaSutil">
    <w:name w:val="Subtle Reference"/>
    <w:rPr>
      <w:smallCaps/>
      <w:color w:val="C0504D"/>
      <w:u w:val="single"/>
    </w:rPr>
  </w:style>
  <w:style w:type="character" w:styleId="RefernciaIntensa">
    <w:name w:val="Intense Reference"/>
    <w:rPr>
      <w:b/>
      <w:bCs/>
      <w:smallCaps/>
      <w:color w:val="C0504D"/>
      <w:spacing w:val="5"/>
      <w:u w:val="single"/>
    </w:rPr>
  </w:style>
  <w:style w:type="character" w:styleId="TtulodoLivro">
    <w:name w:val="Book Title"/>
    <w:rPr>
      <w:b/>
      <w:bCs/>
      <w:smallCaps/>
      <w:spacing w:val="5"/>
    </w:rPr>
  </w:style>
  <w:style w:type="character" w:customStyle="1" w:styleId="MenoPendente1">
    <w:name w:val="Menção Pendente1"/>
    <w:basedOn w:val="Fontepargpadro"/>
    <w:rPr>
      <w:color w:val="605E5C"/>
      <w:shd w:val="clear" w:color="auto" w:fill="E1DFDD"/>
    </w:rPr>
  </w:style>
  <w:style w:type="character" w:customStyle="1" w:styleId="CommentReference">
    <w:name w:val="Comment Reference"/>
    <w:basedOn w:val="Fontepargpadro"/>
    <w:rPr>
      <w:sz w:val="16"/>
      <w:szCs w:val="16"/>
    </w:rPr>
  </w:style>
  <w:style w:type="character" w:customStyle="1" w:styleId="CommentTextChar">
    <w:name w:val="Comment Text Char"/>
    <w:basedOn w:val="Fontepargpadro"/>
    <w:rPr>
      <w:rFonts w:ascii="Times New Roman" w:hAnsi="Times New Roman"/>
    </w:rPr>
  </w:style>
  <w:style w:type="character" w:customStyle="1" w:styleId="CommentSubjectChar">
    <w:name w:val="Comment Subject Char"/>
    <w:basedOn w:val="CommentTextChar"/>
    <w:rPr>
      <w:rFonts w:ascii="Times New Roman" w:hAnsi="Times New Roman"/>
      <w:b/>
      <w:bCs/>
    </w:rPr>
  </w:style>
  <w:style w:type="character" w:customStyle="1" w:styleId="BalloonTextChar">
    <w:name w:val="Balloon Text Char"/>
    <w:basedOn w:val="Fontepargpadro"/>
    <w:rPr>
      <w:rFonts w:ascii="Segoe UI" w:hAnsi="Segoe UI" w:cs="Segoe UI"/>
      <w:sz w:val="18"/>
      <w:szCs w:val="18"/>
    </w:rPr>
  </w:style>
  <w:style w:type="paragraph" w:styleId="Ttulo">
    <w:name w:val="Title"/>
    <w:next w:val="Corpodetexto"/>
    <w:pPr>
      <w:suppressAutoHyphens/>
      <w:spacing w:after="360"/>
      <w:jc w:val="center"/>
    </w:pPr>
    <w:rPr>
      <w:b/>
      <w:sz w:val="24"/>
      <w:szCs w:val="24"/>
    </w:rPr>
  </w:style>
  <w:style w:type="paragraph" w:styleId="Corpodetexto">
    <w:name w:val="Body Text"/>
    <w:basedOn w:val="Normal"/>
    <w:pPr>
      <w:spacing w:after="140" w:line="276" w:lineRule="auto"/>
    </w:pPr>
  </w:style>
  <w:style w:type="paragraph" w:styleId="Lista">
    <w:name w:val="List"/>
    <w:basedOn w:val="Corpodetexto"/>
    <w:rPr>
      <w:rFonts w:cs="Lucida Sans"/>
    </w:rPr>
  </w:style>
  <w:style w:type="paragraph" w:styleId="Legenda">
    <w:name w:val="caption"/>
    <w:basedOn w:val="Normal"/>
    <w:next w:val="Normal"/>
    <w:pPr>
      <w:spacing w:before="360" w:line="360" w:lineRule="auto"/>
      <w:jc w:val="center"/>
    </w:pPr>
    <w:rPr>
      <w:rFonts w:ascii="Arial" w:eastAsia="Times New Roman" w:hAnsi="Arial" w:cs="Arial"/>
      <w:bCs/>
      <w:sz w:val="20"/>
      <w:szCs w:val="20"/>
    </w:rPr>
  </w:style>
  <w:style w:type="paragraph" w:customStyle="1" w:styleId="ndice">
    <w:name w:val="Índice"/>
    <w:basedOn w:val="Normal"/>
    <w:pPr>
      <w:suppressLineNumbers/>
    </w:pPr>
    <w:rPr>
      <w:rFonts w:cs="Lucida Sans"/>
    </w:rPr>
  </w:style>
  <w:style w:type="paragraph" w:styleId="Corpodetexto2">
    <w:name w:val="Body Text 2"/>
    <w:basedOn w:val="Normal"/>
    <w:pPr>
      <w:spacing w:line="480" w:lineRule="auto"/>
    </w:pPr>
    <w:rPr>
      <w:szCs w:val="20"/>
    </w:rPr>
  </w:style>
  <w:style w:type="paragraph" w:customStyle="1" w:styleId="AUTORES">
    <w:name w:val="AUTORES"/>
    <w:pPr>
      <w:suppressAutoHyphens/>
      <w:spacing w:after="240"/>
      <w:jc w:val="center"/>
    </w:pPr>
    <w:rPr>
      <w:rFonts w:cs="Arial"/>
      <w:b/>
      <w:sz w:val="24"/>
      <w:szCs w:val="24"/>
      <w:lang w:val="en-US"/>
    </w:rPr>
  </w:style>
  <w:style w:type="paragraph" w:customStyle="1" w:styleId="INSTITUIO">
    <w:name w:val="INSTITUIÇÃO"/>
    <w:pPr>
      <w:suppressAutoHyphens/>
      <w:jc w:val="center"/>
    </w:pPr>
    <w:rPr>
      <w:rFonts w:cs="Arial"/>
      <w:bCs/>
      <w:i/>
      <w:iCs/>
      <w:szCs w:val="24"/>
    </w:rPr>
  </w:style>
  <w:style w:type="paragraph" w:customStyle="1" w:styleId="RESUMO">
    <w:name w:val="RESUMO"/>
    <w:pPr>
      <w:suppressAutoHyphens/>
      <w:spacing w:before="240"/>
      <w:jc w:val="both"/>
    </w:pPr>
    <w:rPr>
      <w:rFonts w:cs="Arial"/>
      <w:sz w:val="24"/>
      <w:szCs w:val="22"/>
    </w:rPr>
  </w:style>
  <w:style w:type="paragraph" w:styleId="NormalWeb">
    <w:name w:val="Normal (Web)"/>
    <w:basedOn w:val="Normal"/>
    <w:uiPriority w:val="99"/>
    <w:rPr>
      <w:rFonts w:eastAsia="Times New Roman"/>
    </w:rPr>
  </w:style>
  <w:style w:type="paragraph" w:customStyle="1" w:styleId="CabealhoeRodap">
    <w:name w:val="Cabeçalho e Rodapé"/>
    <w:basedOn w:val="Normal"/>
  </w:style>
  <w:style w:type="paragraph" w:styleId="Cabealho">
    <w:name w:val="header"/>
    <w:basedOn w:val="Normal"/>
    <w:link w:val="CabealhoChar"/>
    <w:uiPriority w:val="99"/>
    <w:pPr>
      <w:tabs>
        <w:tab w:val="center" w:pos="4252"/>
        <w:tab w:val="right" w:pos="8504"/>
      </w:tabs>
      <w:spacing w:after="160"/>
      <w:jc w:val="center"/>
    </w:pPr>
    <w:rPr>
      <w:rFonts w:ascii="Arial" w:hAnsi="Arial"/>
      <w:b/>
      <w:sz w:val="20"/>
    </w:rPr>
  </w:style>
  <w:style w:type="paragraph" w:styleId="Rodap">
    <w:name w:val="footer"/>
    <w:basedOn w:val="Normal"/>
    <w:pPr>
      <w:tabs>
        <w:tab w:val="center" w:pos="4252"/>
        <w:tab w:val="right" w:pos="8504"/>
      </w:tabs>
    </w:pPr>
  </w:style>
  <w:style w:type="paragraph" w:styleId="SemEspaamento">
    <w:name w:val="No Spacing"/>
    <w:pPr>
      <w:suppressAutoHyphens/>
      <w:jc w:val="both"/>
    </w:pPr>
    <w:rPr>
      <w:rFonts w:ascii="Times New Roman" w:hAnsi="Times New Roman"/>
      <w:sz w:val="24"/>
      <w:szCs w:val="24"/>
    </w:rPr>
  </w:style>
  <w:style w:type="paragraph" w:styleId="Subttulo">
    <w:name w:val="Subtitle"/>
    <w:basedOn w:val="Normal"/>
    <w:next w:val="Normal"/>
    <w:pPr>
      <w:spacing w:after="60"/>
      <w:jc w:val="center"/>
      <w:outlineLvl w:val="1"/>
    </w:pPr>
    <w:rPr>
      <w:rFonts w:ascii="Cambria" w:eastAsia="Times New Roman" w:hAnsi="Cambria"/>
    </w:rPr>
  </w:style>
  <w:style w:type="paragraph" w:customStyle="1" w:styleId="Ttulodotrabalho">
    <w:name w:val="Título do trabalho"/>
    <w:pPr>
      <w:suppressAutoHyphens/>
      <w:spacing w:after="360"/>
      <w:jc w:val="center"/>
    </w:pPr>
    <w:rPr>
      <w:rFonts w:cs="Arial"/>
      <w:b/>
      <w:sz w:val="24"/>
      <w:szCs w:val="24"/>
      <w:lang w:val="en-US"/>
    </w:rPr>
  </w:style>
  <w:style w:type="paragraph" w:customStyle="1" w:styleId="autores0">
    <w:name w:val="autores"/>
    <w:pPr>
      <w:suppressAutoHyphens/>
      <w:spacing w:after="240"/>
      <w:jc w:val="center"/>
    </w:pPr>
    <w:rPr>
      <w:rFonts w:cs="Arial"/>
      <w:b/>
      <w:sz w:val="24"/>
      <w:szCs w:val="24"/>
    </w:rPr>
  </w:style>
  <w:style w:type="paragraph" w:styleId="Citao">
    <w:name w:val="Quote"/>
    <w:basedOn w:val="Normal"/>
    <w:next w:val="Normal"/>
    <w:rPr>
      <w:i/>
      <w:iCs/>
      <w:color w:val="000000"/>
    </w:rPr>
  </w:style>
  <w:style w:type="paragraph" w:styleId="CitaoIntensa">
    <w:name w:val="Intense Quote"/>
    <w:basedOn w:val="Normal"/>
    <w:next w:val="Normal"/>
    <w:pPr>
      <w:pBdr>
        <w:bottom w:val="single" w:sz="4" w:space="4" w:color="4F81BD"/>
      </w:pBdr>
      <w:spacing w:before="200" w:after="280"/>
      <w:ind w:left="936" w:right="936"/>
    </w:pPr>
    <w:rPr>
      <w:b/>
      <w:bCs/>
      <w:i/>
      <w:iCs/>
      <w:color w:val="4F81BD"/>
    </w:rPr>
  </w:style>
  <w:style w:type="paragraph" w:styleId="PargrafodaLista">
    <w:name w:val="List Paragraph"/>
    <w:basedOn w:val="RESUMO"/>
  </w:style>
  <w:style w:type="paragraph" w:customStyle="1" w:styleId="resumotitulo">
    <w:name w:val="resumo titulo"/>
    <w:pPr>
      <w:suppressAutoHyphens/>
      <w:spacing w:before="480"/>
      <w:jc w:val="center"/>
    </w:pPr>
    <w:rPr>
      <w:rFonts w:cs="Arial"/>
      <w:b/>
      <w:sz w:val="24"/>
      <w:szCs w:val="22"/>
    </w:rPr>
  </w:style>
  <w:style w:type="paragraph" w:customStyle="1" w:styleId="PALAVRAS-CHAVE">
    <w:name w:val="PALAVRAS-CHAVE"/>
    <w:basedOn w:val="RESUMO"/>
  </w:style>
  <w:style w:type="paragraph" w:customStyle="1" w:styleId="EMAILAUTOR">
    <w:name w:val="EMAIL AUTOR"/>
    <w:pPr>
      <w:suppressAutoHyphens/>
      <w:jc w:val="center"/>
    </w:pPr>
    <w:rPr>
      <w:rFonts w:cs="Arial"/>
      <w:bCs/>
      <w:i/>
      <w:iCs/>
      <w:szCs w:val="24"/>
    </w:rPr>
  </w:style>
  <w:style w:type="paragraph" w:customStyle="1" w:styleId="TTULOTRABALHO">
    <w:name w:val="TÍTULO TRABALHO"/>
    <w:basedOn w:val="Ttulo"/>
  </w:style>
  <w:style w:type="paragraph" w:styleId="Bibliografia">
    <w:name w:val="Bibliography"/>
    <w:basedOn w:val="Normal"/>
    <w:next w:val="Normal"/>
  </w:style>
  <w:style w:type="paragraph" w:customStyle="1" w:styleId="Ttulosemnumerao">
    <w:name w:val="Título sem numeração"/>
    <w:pPr>
      <w:suppressAutoHyphens/>
      <w:spacing w:before="360" w:line="360" w:lineRule="auto"/>
      <w:jc w:val="both"/>
    </w:pPr>
    <w:rPr>
      <w:rFonts w:eastAsia="Times New Roman" w:cs="Arial"/>
      <w:b/>
      <w:sz w:val="24"/>
      <w:szCs w:val="17"/>
    </w:rPr>
  </w:style>
  <w:style w:type="paragraph" w:customStyle="1" w:styleId="CommentText">
    <w:name w:val="Comment Text"/>
    <w:basedOn w:val="Normal"/>
    <w:rPr>
      <w:sz w:val="20"/>
      <w:szCs w:val="20"/>
    </w:rPr>
  </w:style>
  <w:style w:type="paragraph" w:customStyle="1" w:styleId="CommentSubject">
    <w:name w:val="Comment Subject"/>
    <w:basedOn w:val="CommentText"/>
    <w:next w:val="CommentText"/>
    <w:rPr>
      <w:b/>
      <w:bCs/>
    </w:rPr>
  </w:style>
  <w:style w:type="paragraph" w:styleId="Textodebalo">
    <w:name w:val="Balloon Text"/>
    <w:basedOn w:val="Normal"/>
    <w:rPr>
      <w:rFonts w:ascii="Segoe UI" w:hAnsi="Segoe UI" w:cs="Segoe UI"/>
      <w:sz w:val="18"/>
      <w:szCs w:val="18"/>
    </w:rPr>
  </w:style>
  <w:style w:type="character" w:styleId="Hyperlink">
    <w:name w:val="Hyperlink"/>
    <w:basedOn w:val="Fontepargpadro"/>
    <w:rPr>
      <w:color w:val="0000FF"/>
      <w:u w:val="single"/>
    </w:rPr>
  </w:style>
  <w:style w:type="character" w:styleId="nfase">
    <w:name w:val="Emphasis"/>
    <w:basedOn w:val="Fontepargpadro"/>
    <w:rPr>
      <w:i/>
      <w:iCs/>
    </w:rPr>
  </w:style>
  <w:style w:type="character" w:customStyle="1" w:styleId="Heading6Char">
    <w:name w:val="Heading 6 Char"/>
    <w:basedOn w:val="Fontepargpadro"/>
    <w:rPr>
      <w:rFonts w:ascii="Cambria" w:eastAsia="Cambria" w:hAnsi="Cambria" w:cs="Cambria"/>
      <w:color w:val="243F60"/>
      <w:sz w:val="24"/>
      <w:szCs w:val="24"/>
    </w:rPr>
  </w:style>
  <w:style w:type="paragraph" w:styleId="Textodenotaderodap">
    <w:name w:val="footnote text"/>
    <w:basedOn w:val="Normal"/>
    <w:link w:val="TextodenotaderodapChar"/>
    <w:uiPriority w:val="99"/>
    <w:semiHidden/>
    <w:unhideWhenUsed/>
    <w:rsid w:val="009315E2"/>
    <w:rPr>
      <w:sz w:val="20"/>
      <w:szCs w:val="20"/>
    </w:rPr>
  </w:style>
  <w:style w:type="character" w:customStyle="1" w:styleId="TextodenotaderodapChar">
    <w:name w:val="Texto de nota de rodapé Char"/>
    <w:basedOn w:val="Fontepargpadro"/>
    <w:link w:val="Textodenotaderodap"/>
    <w:uiPriority w:val="99"/>
    <w:semiHidden/>
    <w:rsid w:val="009315E2"/>
    <w:rPr>
      <w:rFonts w:ascii="Times New Roman" w:hAnsi="Times New Roman"/>
    </w:rPr>
  </w:style>
  <w:style w:type="character" w:styleId="Refdenotaderodap">
    <w:name w:val="footnote reference"/>
    <w:basedOn w:val="Fontepargpadro"/>
    <w:uiPriority w:val="99"/>
    <w:semiHidden/>
    <w:unhideWhenUsed/>
    <w:rsid w:val="009315E2"/>
    <w:rPr>
      <w:vertAlign w:val="superscript"/>
    </w:rPr>
  </w:style>
  <w:style w:type="character" w:customStyle="1" w:styleId="MenoPendente2">
    <w:name w:val="Menção Pendente2"/>
    <w:basedOn w:val="Fontepargpadro"/>
    <w:uiPriority w:val="99"/>
    <w:semiHidden/>
    <w:unhideWhenUsed/>
    <w:rsid w:val="00ED7C02"/>
    <w:rPr>
      <w:color w:val="605E5C"/>
      <w:shd w:val="clear" w:color="auto" w:fill="E1DFDD"/>
    </w:rPr>
  </w:style>
  <w:style w:type="character" w:customStyle="1" w:styleId="MenoPendente3">
    <w:name w:val="Menção Pendente3"/>
    <w:basedOn w:val="Fontepargpadro"/>
    <w:uiPriority w:val="99"/>
    <w:semiHidden/>
    <w:unhideWhenUsed/>
    <w:rsid w:val="00E25B20"/>
    <w:rPr>
      <w:color w:val="605E5C"/>
      <w:shd w:val="clear" w:color="auto" w:fill="E1DFDD"/>
    </w:rPr>
  </w:style>
  <w:style w:type="character" w:customStyle="1" w:styleId="CabealhoChar">
    <w:name w:val="Cabeçalho Char"/>
    <w:basedOn w:val="Fontepargpadro"/>
    <w:link w:val="Cabealho"/>
    <w:uiPriority w:val="99"/>
    <w:rsid w:val="00EA0D92"/>
    <w:rPr>
      <w:b/>
      <w:szCs w:val="24"/>
    </w:rPr>
  </w:style>
  <w:style w:type="table" w:styleId="Tabelacomgrade">
    <w:name w:val="Table Grid"/>
    <w:basedOn w:val="Tabelanormal"/>
    <w:uiPriority w:val="39"/>
    <w:rsid w:val="007166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1586364">
      <w:bodyDiv w:val="1"/>
      <w:marLeft w:val="0"/>
      <w:marRight w:val="0"/>
      <w:marTop w:val="0"/>
      <w:marBottom w:val="0"/>
      <w:divBdr>
        <w:top w:val="none" w:sz="0" w:space="0" w:color="auto"/>
        <w:left w:val="none" w:sz="0" w:space="0" w:color="auto"/>
        <w:bottom w:val="none" w:sz="0" w:space="0" w:color="auto"/>
        <w:right w:val="none" w:sz="0" w:space="0" w:color="auto"/>
      </w:divBdr>
    </w:div>
    <w:div w:id="1347291560">
      <w:bodyDiv w:val="1"/>
      <w:marLeft w:val="0"/>
      <w:marRight w:val="0"/>
      <w:marTop w:val="0"/>
      <w:marBottom w:val="0"/>
      <w:divBdr>
        <w:top w:val="none" w:sz="0" w:space="0" w:color="auto"/>
        <w:left w:val="none" w:sz="0" w:space="0" w:color="auto"/>
        <w:bottom w:val="none" w:sz="0" w:space="0" w:color="auto"/>
        <w:right w:val="none" w:sz="0" w:space="0" w:color="auto"/>
      </w:divBdr>
      <w:divsChild>
        <w:div w:id="1612282717">
          <w:marLeft w:val="0"/>
          <w:marRight w:val="0"/>
          <w:marTop w:val="0"/>
          <w:marBottom w:val="0"/>
          <w:divBdr>
            <w:top w:val="none" w:sz="0" w:space="0" w:color="auto"/>
            <w:left w:val="none" w:sz="0" w:space="0" w:color="auto"/>
            <w:bottom w:val="none" w:sz="0" w:space="0" w:color="auto"/>
            <w:right w:val="none" w:sz="0" w:space="0" w:color="auto"/>
          </w:divBdr>
          <w:divsChild>
            <w:div w:id="1290405100">
              <w:marLeft w:val="0"/>
              <w:marRight w:val="0"/>
              <w:marTop w:val="0"/>
              <w:marBottom w:val="0"/>
              <w:divBdr>
                <w:top w:val="none" w:sz="0" w:space="0" w:color="auto"/>
                <w:left w:val="none" w:sz="0" w:space="0" w:color="auto"/>
                <w:bottom w:val="none" w:sz="0" w:space="0" w:color="auto"/>
                <w:right w:val="none" w:sz="0" w:space="0" w:color="auto"/>
              </w:divBdr>
              <w:divsChild>
                <w:div w:id="1285311979">
                  <w:marLeft w:val="0"/>
                  <w:marRight w:val="0"/>
                  <w:marTop w:val="0"/>
                  <w:marBottom w:val="0"/>
                  <w:divBdr>
                    <w:top w:val="none" w:sz="0" w:space="0" w:color="auto"/>
                    <w:left w:val="none" w:sz="0" w:space="0" w:color="auto"/>
                    <w:bottom w:val="none" w:sz="0" w:space="0" w:color="auto"/>
                    <w:right w:val="none" w:sz="0" w:space="0" w:color="auto"/>
                  </w:divBdr>
                  <w:divsChild>
                    <w:div w:id="1766344704">
                      <w:marLeft w:val="0"/>
                      <w:marRight w:val="0"/>
                      <w:marTop w:val="0"/>
                      <w:marBottom w:val="0"/>
                      <w:divBdr>
                        <w:top w:val="none" w:sz="0" w:space="0" w:color="auto"/>
                        <w:left w:val="none" w:sz="0" w:space="0" w:color="auto"/>
                        <w:bottom w:val="none" w:sz="0" w:space="0" w:color="auto"/>
                        <w:right w:val="none" w:sz="0" w:space="0" w:color="auto"/>
                      </w:divBdr>
                      <w:divsChild>
                        <w:div w:id="928847636">
                          <w:marLeft w:val="0"/>
                          <w:marRight w:val="0"/>
                          <w:marTop w:val="0"/>
                          <w:marBottom w:val="0"/>
                          <w:divBdr>
                            <w:top w:val="none" w:sz="0" w:space="0" w:color="auto"/>
                            <w:left w:val="none" w:sz="0" w:space="0" w:color="auto"/>
                            <w:bottom w:val="none" w:sz="0" w:space="0" w:color="auto"/>
                            <w:right w:val="none" w:sz="0" w:space="0" w:color="auto"/>
                          </w:divBdr>
                          <w:divsChild>
                            <w:div w:id="107311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3.emf"/><Relationship Id="rId18" Type="http://schemas.openxmlformats.org/officeDocument/2006/relationships/hyperlink" Target="https://doi.org/10.51891/rease.v10i11" TargetMode="External"/><Relationship Id="rId26" Type="http://schemas.openxmlformats.org/officeDocument/2006/relationships/header" Target="header4.xml"/><Relationship Id="rId3" Type="http://schemas.openxmlformats.org/officeDocument/2006/relationships/settings" Target="settings.xml"/><Relationship Id="rId21" Type="http://schemas.openxmlformats.org/officeDocument/2006/relationships/hyperlink" Target="https://repositorio.ucs.br/xmlui/bitstream/handle/11338/5076/TCC%20Ta&#237;ne%20Camila%20M&#252;ller.pdf?sequence=1&amp;isAllowed=y"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s://www.tse.jus.br/legislacao/compilada/res/2019/resolucao-no-23-607-de-17-de-dezembro-de-2019" TargetMode="External"/><Relationship Id="rId25" Type="http://schemas.openxmlformats.org/officeDocument/2006/relationships/hyperlink" Target="https://integrada.minhabiblioteca.com.br/reader/books/9786555598810/epubcfi/6/2%5B%3Bvnd.vst.idref%3DCapa.xhtml%5D!/4/2" TargetMode="External"/><Relationship Id="rId2" Type="http://schemas.openxmlformats.org/officeDocument/2006/relationships/styles" Target="styles.xml"/><Relationship Id="rId16" Type="http://schemas.openxmlformats.org/officeDocument/2006/relationships/hyperlink" Target="https://www.planalto.gov.br/ccivil_03/leis/l9504.htm" TargetMode="External"/><Relationship Id="rId20" Type="http://schemas.openxmlformats.org/officeDocument/2006/relationships/hyperlink" Target="https://integrada.minhabiblioteca.com.br/reader/books/9786559776054/epubcfi/6/2%5B%3Bvnd.vst.idref%3Dcover%5D!/4/2/2%4051:80"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www.editoradodireito.com.br/livro-direito-eleitoral-saraiva-jur-9786553621688" TargetMode="Externa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s://www.tse.jus.br/comunicacao/noticias/2024/Fevereiro/eleicoes-2024-confira-6-pontos-essenciais-sobre-o-fundo-eleitoral"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s://divulgacandcontas.tse.jus.br/divulga/"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hyperlink" Target="https://www.tse.jus.br/legislacao/codigo-eleitoral"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compliancecomporte.com.br/" TargetMode="External"/><Relationship Id="rId1" Type="http://schemas.openxmlformats.org/officeDocument/2006/relationships/hyperlink" Target="https://www.cnnbrasil.com.br/economia/macroeconomia/o-que-e-accountability-conheca-o-termo-que-ajuda-a-repensar-direitos-e-deveres/"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1748D9-C5C9-4032-885F-E843F71B0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6468</Words>
  <Characters>34930</Characters>
  <Application>Microsoft Office Word</Application>
  <DocSecurity>0</DocSecurity>
  <Lines>291</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UniFOA</dc:creator>
  <dc:description/>
  <cp:lastModifiedBy>Sallete</cp:lastModifiedBy>
  <cp:revision>5</cp:revision>
  <cp:lastPrinted>2024-11-21T21:29:00Z</cp:lastPrinted>
  <dcterms:created xsi:type="dcterms:W3CDTF">2024-12-20T20:33:00Z</dcterms:created>
  <dcterms:modified xsi:type="dcterms:W3CDTF">2024-12-20T21:14:00Z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0x010100AC31AD3791EBCE418179706A7D5F855E</vt:lpwstr>
  </property>
</Properties>
</file>