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comgrade"/>
        <w:tblpPr w:leftFromText="141" w:rightFromText="141" w:vertAnchor="text" w:horzAnchor="margin" w:tblpXSpec="right" w:tblpY="-173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A83774" w:rsidTr="00A83774">
        <w:tc>
          <w:tcPr>
            <w:tcW w:w="419" w:type="dxa"/>
            <w:shd w:val="clear" w:color="auto" w:fill="FFFFFF" w:themeFill="background1"/>
          </w:tcPr>
          <w:p w:rsidR="00A83774" w:rsidRDefault="00A83774" w:rsidP="00A83774">
            <w:pPr>
              <w:spacing w:after="200" w:line="360" w:lineRule="auto"/>
              <w:jc w:val="center"/>
              <w:rPr>
                <w:rFonts w:ascii="Arial" w:hAnsi="Arial" w:cs="Arial"/>
                <w:b/>
              </w:rPr>
            </w:pPr>
          </w:p>
        </w:tc>
      </w:tr>
    </w:tbl>
    <w:p w:rsidR="003B62BD" w:rsidRDefault="003B62BD">
      <w:pPr>
        <w:pStyle w:val="Ttulo"/>
        <w:rPr>
          <w:rFonts w:cs="Arial"/>
        </w:rPr>
      </w:pPr>
    </w:p>
    <w:p w:rsidR="003B62BD" w:rsidRDefault="008E5837">
      <w:pPr>
        <w:spacing w:after="200" w:line="360" w:lineRule="auto"/>
        <w:jc w:val="center"/>
        <w:rPr>
          <w:rFonts w:ascii="Arial" w:hAnsi="Arial" w:cs="Arial"/>
          <w:b/>
        </w:rPr>
      </w:pPr>
      <w:r>
        <w:rPr>
          <w:rFonts w:ascii="Arial" w:hAnsi="Arial" w:cs="Arial"/>
          <w:b/>
        </w:rPr>
        <w:t>FUNDAÇÃO OSWALDO ARANHA</w:t>
      </w:r>
      <w:r>
        <w:rPr>
          <w:rFonts w:ascii="Arial" w:hAnsi="Arial" w:cs="Arial"/>
          <w:b/>
        </w:rPr>
        <w:br/>
        <w:t>CENTRO UNIVERSITÁRIO DE VOLTA REDONDA</w:t>
      </w:r>
      <w:r>
        <w:rPr>
          <w:rFonts w:ascii="Arial" w:hAnsi="Arial" w:cs="Arial"/>
          <w:b/>
        </w:rPr>
        <w:br/>
        <w:t>CURSO DE GRADUAÇÃO EM CIÊNCIAS CONTÁBEIS</w:t>
      </w:r>
      <w:r>
        <w:rPr>
          <w:rFonts w:ascii="Arial" w:hAnsi="Arial" w:cs="Arial"/>
          <w:b/>
        </w:rPr>
        <w:br/>
        <w:t>TRABALHO DE CONCLUSÃO DE CURSO</w:t>
      </w: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line="360" w:lineRule="auto"/>
        <w:jc w:val="both"/>
        <w:rPr>
          <w:rFonts w:ascii="Arial" w:hAnsi="Arial" w:cs="Arial"/>
          <w:b/>
          <w:bCs/>
        </w:rPr>
      </w:pPr>
    </w:p>
    <w:p w:rsidR="003B62BD" w:rsidRDefault="008E5837">
      <w:pPr>
        <w:spacing w:line="360" w:lineRule="auto"/>
        <w:jc w:val="center"/>
        <w:rPr>
          <w:rFonts w:ascii="Arial" w:hAnsi="Arial" w:cs="Arial"/>
        </w:rPr>
      </w:pPr>
      <w:r>
        <w:rPr>
          <w:rFonts w:ascii="Arial" w:hAnsi="Arial" w:cs="Arial"/>
        </w:rPr>
        <w:t>GUILHERME CORRÊA MATTOS</w:t>
      </w:r>
    </w:p>
    <w:p w:rsidR="003B62BD" w:rsidRDefault="008E5837">
      <w:pPr>
        <w:spacing w:line="360" w:lineRule="auto"/>
        <w:jc w:val="center"/>
        <w:rPr>
          <w:rFonts w:ascii="Arial" w:hAnsi="Arial" w:cs="Arial"/>
        </w:rPr>
      </w:pPr>
      <w:r>
        <w:rPr>
          <w:rFonts w:ascii="Arial" w:hAnsi="Arial" w:cs="Arial"/>
        </w:rPr>
        <w:t>MAIARA CÂNDIDA RIBEIRO MARTINHO</w:t>
      </w: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8E5837">
      <w:pPr>
        <w:spacing w:line="360" w:lineRule="auto"/>
        <w:jc w:val="center"/>
        <w:rPr>
          <w:rFonts w:ascii="Arial" w:hAnsi="Arial" w:cs="Arial"/>
          <w:b/>
          <w:bCs/>
          <w:sz w:val="28"/>
          <w:szCs w:val="28"/>
        </w:rPr>
      </w:pPr>
      <w:r>
        <w:rPr>
          <w:rFonts w:ascii="Arial" w:hAnsi="Arial" w:cs="Arial"/>
          <w:b/>
          <w:bCs/>
          <w:sz w:val="28"/>
          <w:szCs w:val="28"/>
        </w:rPr>
        <w:t>A REFORMA TRIBUTÁRIA E OS IMPACTOS NOS SERVIÇOS CONTÁBEIS</w:t>
      </w:r>
    </w:p>
    <w:p w:rsidR="003B62BD" w:rsidRDefault="003B62BD">
      <w:pPr>
        <w:spacing w:after="200" w:line="360" w:lineRule="auto"/>
        <w:jc w:val="center"/>
        <w:rPr>
          <w:rFonts w:ascii="Arial" w:hAnsi="Arial" w:cs="Arial"/>
          <w:b/>
          <w:sz w:val="28"/>
          <w:szCs w:val="28"/>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8E5837">
      <w:pPr>
        <w:spacing w:after="200" w:line="360" w:lineRule="auto"/>
        <w:jc w:val="center"/>
        <w:rPr>
          <w:rFonts w:ascii="Arial" w:hAnsi="Arial" w:cs="Arial"/>
          <w:b/>
        </w:rPr>
      </w:pPr>
      <w:r>
        <w:rPr>
          <w:rFonts w:ascii="Arial" w:hAnsi="Arial" w:cs="Arial"/>
          <w:b/>
        </w:rPr>
        <w:t>VOLTA REDONDA</w:t>
      </w:r>
      <w:r>
        <w:rPr>
          <w:rFonts w:ascii="Arial" w:hAnsi="Arial" w:cs="Arial"/>
          <w:b/>
        </w:rPr>
        <w:br/>
        <w:t>2024</w:t>
      </w:r>
      <w:r>
        <w:rPr>
          <w:rFonts w:ascii="Arial" w:hAnsi="Arial" w:cs="Arial"/>
        </w:rPr>
        <w:br w:type="page"/>
      </w:r>
    </w:p>
    <w:tbl>
      <w:tblPr>
        <w:tblStyle w:val="Tabelacomgrade"/>
        <w:tblpPr w:leftFromText="141" w:rightFromText="141" w:vertAnchor="text" w:horzAnchor="margin" w:tblpXSpec="right" w:tblpY="-175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A83774" w:rsidTr="00A83774">
        <w:tc>
          <w:tcPr>
            <w:tcW w:w="419" w:type="dxa"/>
            <w:shd w:val="clear" w:color="auto" w:fill="FFFFFF" w:themeFill="background1"/>
          </w:tcPr>
          <w:p w:rsidR="00A83774" w:rsidRDefault="00A83774" w:rsidP="00A83774">
            <w:pPr>
              <w:spacing w:after="200" w:line="360" w:lineRule="auto"/>
              <w:rPr>
                <w:rFonts w:ascii="Arial" w:hAnsi="Arial" w:cs="Arial"/>
                <w:b/>
              </w:rPr>
            </w:pPr>
          </w:p>
        </w:tc>
      </w:tr>
    </w:tbl>
    <w:p w:rsidR="003B62BD" w:rsidRDefault="008E5837">
      <w:pPr>
        <w:spacing w:after="200" w:line="360" w:lineRule="auto"/>
        <w:jc w:val="center"/>
        <w:rPr>
          <w:rFonts w:ascii="Arial" w:hAnsi="Arial" w:cs="Arial"/>
          <w:b/>
        </w:rPr>
      </w:pPr>
      <w:r>
        <w:rPr>
          <w:rFonts w:ascii="Arial" w:hAnsi="Arial" w:cs="Arial"/>
          <w:b/>
        </w:rPr>
        <w:t>FUNDAÇÃO OSWALDO ARANHA</w:t>
      </w:r>
      <w:r>
        <w:rPr>
          <w:rFonts w:ascii="Arial" w:hAnsi="Arial" w:cs="Arial"/>
          <w:b/>
        </w:rPr>
        <w:br/>
        <w:t>CENTRO UNIVERSITÁRIO DE VOLTA REDONDA</w:t>
      </w:r>
      <w:r>
        <w:rPr>
          <w:rFonts w:ascii="Arial" w:hAnsi="Arial" w:cs="Arial"/>
          <w:b/>
        </w:rPr>
        <w:br/>
        <w:t>CURSO DE GRADUAÇÃO EM CIÊNCIAS CONTÁBEIS</w:t>
      </w:r>
      <w:r>
        <w:rPr>
          <w:rFonts w:ascii="Arial" w:hAnsi="Arial" w:cs="Arial"/>
          <w:b/>
        </w:rPr>
        <w:br/>
        <w:t>TRABALHO DE CONCLUSÃO DE CURSO</w:t>
      </w:r>
    </w:p>
    <w:p w:rsidR="003B62BD" w:rsidRDefault="003B62BD">
      <w:pPr>
        <w:spacing w:after="200" w:line="360" w:lineRule="auto"/>
        <w:rPr>
          <w:rFonts w:ascii="Arial" w:hAnsi="Arial" w:cs="Arial"/>
          <w:b/>
        </w:rPr>
      </w:pPr>
    </w:p>
    <w:p w:rsidR="003B62BD" w:rsidRDefault="003B62BD">
      <w:pPr>
        <w:spacing w:line="360" w:lineRule="auto"/>
        <w:jc w:val="center"/>
        <w:rPr>
          <w:rFonts w:ascii="Arial" w:hAnsi="Arial" w:cs="Arial"/>
          <w:b/>
          <w:bCs/>
        </w:rPr>
      </w:pPr>
    </w:p>
    <w:p w:rsidR="003B62BD" w:rsidRDefault="008E5837">
      <w:pPr>
        <w:spacing w:line="360" w:lineRule="auto"/>
        <w:jc w:val="center"/>
        <w:rPr>
          <w:rFonts w:ascii="Arial" w:hAnsi="Arial" w:cs="Arial"/>
        </w:rPr>
      </w:pPr>
      <w:r>
        <w:rPr>
          <w:rFonts w:ascii="Arial" w:hAnsi="Arial" w:cs="Arial"/>
        </w:rPr>
        <w:t>GUILHERME CORRÊA MATTOS</w:t>
      </w:r>
    </w:p>
    <w:p w:rsidR="003B62BD" w:rsidRDefault="008E5837">
      <w:pPr>
        <w:spacing w:line="360" w:lineRule="auto"/>
        <w:jc w:val="center"/>
        <w:rPr>
          <w:rFonts w:ascii="Arial" w:hAnsi="Arial" w:cs="Arial"/>
        </w:rPr>
      </w:pPr>
      <w:r>
        <w:rPr>
          <w:rFonts w:ascii="Arial" w:hAnsi="Arial" w:cs="Arial"/>
        </w:rPr>
        <w:t>MAIARA CÂNDIDA RIBEIRO MARTINHO</w:t>
      </w:r>
    </w:p>
    <w:p w:rsidR="003B62BD" w:rsidRDefault="003B62BD">
      <w:pPr>
        <w:spacing w:after="200" w:line="360" w:lineRule="auto"/>
        <w:jc w:val="center"/>
        <w:rPr>
          <w:rFonts w:ascii="Arial" w:hAnsi="Arial" w:cs="Arial"/>
          <w:b/>
        </w:rPr>
      </w:pPr>
    </w:p>
    <w:p w:rsidR="003B62BD" w:rsidRDefault="003B62BD">
      <w:pPr>
        <w:spacing w:after="200" w:line="360" w:lineRule="auto"/>
        <w:jc w:val="center"/>
        <w:rPr>
          <w:rFonts w:ascii="Arial" w:hAnsi="Arial" w:cs="Arial"/>
          <w:b/>
        </w:rPr>
      </w:pPr>
    </w:p>
    <w:p w:rsidR="003B62BD" w:rsidRDefault="008E5837">
      <w:pPr>
        <w:spacing w:line="360" w:lineRule="auto"/>
        <w:jc w:val="center"/>
        <w:rPr>
          <w:rFonts w:ascii="Arial" w:hAnsi="Arial" w:cs="Arial"/>
          <w:b/>
          <w:bCs/>
          <w:sz w:val="28"/>
          <w:szCs w:val="28"/>
        </w:rPr>
      </w:pPr>
      <w:r>
        <w:rPr>
          <w:rFonts w:ascii="Arial" w:hAnsi="Arial" w:cs="Arial"/>
          <w:b/>
          <w:bCs/>
          <w:sz w:val="28"/>
          <w:szCs w:val="28"/>
        </w:rPr>
        <w:t>A REFORMA TRIBUTÁRIA E OS IMPACTOS NOS SERVIÇOS CONTÁBEIS</w:t>
      </w:r>
    </w:p>
    <w:p w:rsidR="003B62BD" w:rsidRDefault="003B62BD">
      <w:pPr>
        <w:spacing w:line="360" w:lineRule="auto"/>
        <w:jc w:val="center"/>
        <w:rPr>
          <w:rFonts w:ascii="Arial" w:hAnsi="Arial" w:cs="Arial"/>
          <w:b/>
          <w:bCs/>
          <w:sz w:val="28"/>
          <w:szCs w:val="28"/>
        </w:rPr>
      </w:pPr>
    </w:p>
    <w:p w:rsidR="003B62BD" w:rsidRDefault="003B62BD">
      <w:pPr>
        <w:spacing w:line="360" w:lineRule="auto"/>
        <w:jc w:val="center"/>
        <w:rPr>
          <w:rFonts w:ascii="Arial" w:hAnsi="Arial" w:cs="Arial"/>
          <w:b/>
          <w:bCs/>
          <w:sz w:val="28"/>
          <w:szCs w:val="28"/>
        </w:rPr>
      </w:pPr>
    </w:p>
    <w:p w:rsidR="003B62BD" w:rsidRDefault="008E5837">
      <w:pPr>
        <w:spacing w:after="200" w:line="360" w:lineRule="auto"/>
        <w:ind w:left="4536"/>
        <w:jc w:val="both"/>
        <w:rPr>
          <w:rFonts w:ascii="Arial" w:hAnsi="Arial" w:cs="Arial"/>
        </w:rPr>
      </w:pPr>
      <w:r>
        <w:rPr>
          <w:rFonts w:ascii="Arial" w:hAnsi="Arial" w:cs="Arial"/>
        </w:rPr>
        <w:t>Trabalho de Conclusão de Curso Ciências Contábeis do UniFOA como requisito parcial para obtenção do título de bacharel em Ciências Contábeis.</w:t>
      </w:r>
    </w:p>
    <w:p w:rsidR="003B62BD" w:rsidRDefault="008E5837">
      <w:pPr>
        <w:spacing w:after="200" w:line="360" w:lineRule="auto"/>
        <w:ind w:left="4536"/>
        <w:jc w:val="both"/>
        <w:rPr>
          <w:rFonts w:ascii="Arial" w:hAnsi="Arial" w:cs="Arial"/>
        </w:rPr>
      </w:pPr>
      <w:r>
        <w:rPr>
          <w:rFonts w:ascii="Arial" w:hAnsi="Arial" w:cs="Arial"/>
        </w:rPr>
        <w:t>Alunos: Guilherme Corrêa Mattos e Maiara Cândida Ribeiro Martinho.</w:t>
      </w:r>
    </w:p>
    <w:p w:rsidR="003B62BD" w:rsidRDefault="008E5837">
      <w:pPr>
        <w:spacing w:after="200" w:line="360" w:lineRule="auto"/>
        <w:ind w:left="4536"/>
        <w:jc w:val="both"/>
        <w:rPr>
          <w:rFonts w:ascii="Arial" w:hAnsi="Arial" w:cs="Arial"/>
        </w:rPr>
      </w:pPr>
      <w:r>
        <w:rPr>
          <w:rFonts w:ascii="Arial" w:hAnsi="Arial" w:cs="Arial"/>
        </w:rPr>
        <w:t>Orientadora: Profª. Drª. Ariadne Yurkin Scandiuzzi</w:t>
      </w:r>
    </w:p>
    <w:p w:rsidR="003B62BD" w:rsidRDefault="008E5837">
      <w:pPr>
        <w:spacing w:after="120" w:line="360" w:lineRule="auto"/>
        <w:ind w:left="4536"/>
        <w:jc w:val="both"/>
        <w:rPr>
          <w:rFonts w:ascii="Arial" w:hAnsi="Arial" w:cs="Arial"/>
        </w:rPr>
      </w:pPr>
      <w:r>
        <w:rPr>
          <w:rFonts w:ascii="Arial" w:hAnsi="Arial" w:cs="Arial"/>
        </w:rPr>
        <w:t xml:space="preserve">Coorientadora: Profª. Lana Cristina de Oliveira </w:t>
      </w:r>
    </w:p>
    <w:p w:rsidR="003B62BD" w:rsidRDefault="003B62BD">
      <w:pPr>
        <w:spacing w:after="200" w:line="360" w:lineRule="auto"/>
        <w:rPr>
          <w:rFonts w:ascii="Arial" w:hAnsi="Arial" w:cs="Arial"/>
        </w:rPr>
      </w:pPr>
    </w:p>
    <w:p w:rsidR="003B62BD" w:rsidRDefault="003B62BD">
      <w:pPr>
        <w:spacing w:after="200" w:line="360" w:lineRule="auto"/>
        <w:rPr>
          <w:rFonts w:ascii="Arial" w:hAnsi="Arial" w:cs="Arial"/>
        </w:rPr>
      </w:pPr>
    </w:p>
    <w:p w:rsidR="003B62BD" w:rsidRDefault="008E5837">
      <w:pPr>
        <w:spacing w:after="200" w:line="360" w:lineRule="auto"/>
        <w:jc w:val="center"/>
        <w:rPr>
          <w:rFonts w:ascii="Arial" w:hAnsi="Arial" w:cs="Arial"/>
          <w:b/>
        </w:rPr>
      </w:pPr>
      <w:r>
        <w:rPr>
          <w:rFonts w:ascii="Arial" w:hAnsi="Arial" w:cs="Arial"/>
          <w:b/>
        </w:rPr>
        <w:t>VOLTA REDONDA</w:t>
      </w:r>
      <w:r>
        <w:rPr>
          <w:rFonts w:ascii="Arial" w:hAnsi="Arial" w:cs="Arial"/>
          <w:b/>
        </w:rPr>
        <w:br/>
        <w:t>2024</w:t>
      </w:r>
    </w:p>
    <w:tbl>
      <w:tblPr>
        <w:tblStyle w:val="Tabelacomgrade"/>
        <w:tblpPr w:leftFromText="141" w:rightFromText="141" w:vertAnchor="text" w:horzAnchor="margin" w:tblpXSpec="right" w:tblpY="-172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A83774" w:rsidTr="00A83774">
        <w:tc>
          <w:tcPr>
            <w:tcW w:w="419" w:type="dxa"/>
            <w:shd w:val="clear" w:color="auto" w:fill="FFFFFF" w:themeFill="background1"/>
          </w:tcPr>
          <w:p w:rsidR="00A83774" w:rsidRDefault="00A83774" w:rsidP="00A83774">
            <w:pPr>
              <w:spacing w:after="200" w:line="360" w:lineRule="auto"/>
              <w:rPr>
                <w:rFonts w:ascii="Arial" w:hAnsi="Arial" w:cs="Arial"/>
              </w:rPr>
            </w:pPr>
          </w:p>
        </w:tc>
      </w:tr>
    </w:tbl>
    <w:p w:rsidR="003B62BD" w:rsidRDefault="0003261A" w:rsidP="0003261A">
      <w:pPr>
        <w:spacing w:after="200" w:line="360" w:lineRule="auto"/>
        <w:jc w:val="center"/>
        <w:rPr>
          <w:rFonts w:ascii="Arial" w:hAnsi="Arial" w:cs="Arial"/>
        </w:rPr>
      </w:pPr>
      <w:r>
        <w:rPr>
          <w:noProof/>
        </w:rPr>
        <w:drawing>
          <wp:anchor distT="0" distB="0" distL="0" distR="0" simplePos="0" relativeHeight="251659264" behindDoc="0" locked="0" layoutInCell="1" allowOverlap="1" wp14:anchorId="42A97565" wp14:editId="7A097C8E">
            <wp:simplePos x="0" y="0"/>
            <wp:positionH relativeFrom="page">
              <wp:posOffset>933450</wp:posOffset>
            </wp:positionH>
            <wp:positionV relativeFrom="paragraph">
              <wp:posOffset>281940</wp:posOffset>
            </wp:positionV>
            <wp:extent cx="5737225" cy="75819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737225" cy="7581900"/>
                    </a:xfrm>
                    <a:prstGeom prst="rect">
                      <a:avLst/>
                    </a:prstGeom>
                  </pic:spPr>
                </pic:pic>
              </a:graphicData>
            </a:graphic>
            <wp14:sizeRelH relativeFrom="margin">
              <wp14:pctWidth>0</wp14:pctWidth>
            </wp14:sizeRelH>
            <wp14:sizeRelV relativeFrom="margin">
              <wp14:pctHeight>0</wp14:pctHeight>
            </wp14:sizeRelV>
          </wp:anchor>
        </w:drawing>
      </w:r>
      <w:r w:rsidR="008E5837">
        <w:rPr>
          <w:rFonts w:ascii="Arial" w:hAnsi="Arial" w:cs="Arial"/>
        </w:rPr>
        <w:t xml:space="preserve"> </w:t>
      </w: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p w:rsidR="0003261A" w:rsidRDefault="0003261A" w:rsidP="0003261A">
      <w:pPr>
        <w:spacing w:after="200" w:line="360" w:lineRule="auto"/>
        <w:jc w:val="center"/>
        <w:rPr>
          <w:rFonts w:ascii="Arial" w:hAnsi="Arial" w:cs="Arial"/>
          <w:color w:val="FF0000"/>
        </w:rPr>
      </w:pPr>
    </w:p>
    <w:tbl>
      <w:tblPr>
        <w:tblStyle w:val="Tabelacomgrade"/>
        <w:tblpPr w:leftFromText="141" w:rightFromText="141" w:horzAnchor="margin" w:tblpXSpec="right" w:tblpY="-169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A83774" w:rsidTr="00A83774">
        <w:tc>
          <w:tcPr>
            <w:tcW w:w="419" w:type="dxa"/>
            <w:shd w:val="clear" w:color="auto" w:fill="FFFFFF" w:themeFill="background1"/>
          </w:tcPr>
          <w:p w:rsidR="00A83774" w:rsidRDefault="00A83774" w:rsidP="00A83774">
            <w:pPr>
              <w:spacing w:after="200" w:line="360" w:lineRule="auto"/>
              <w:jc w:val="center"/>
              <w:rPr>
                <w:rFonts w:ascii="Arial" w:hAnsi="Arial" w:cs="Arial"/>
                <w:color w:val="FF0000"/>
              </w:rPr>
            </w:pPr>
          </w:p>
        </w:tc>
      </w:tr>
    </w:tbl>
    <w:p w:rsidR="0003261A" w:rsidRDefault="0003261A" w:rsidP="0003261A">
      <w:pPr>
        <w:spacing w:after="200" w:line="360" w:lineRule="auto"/>
        <w:jc w:val="center"/>
        <w:rPr>
          <w:rFonts w:ascii="Arial" w:hAnsi="Arial" w:cs="Arial"/>
          <w:color w:val="FF0000"/>
        </w:rPr>
      </w:pPr>
    </w:p>
    <w:p w:rsidR="0014230D" w:rsidRDefault="0014230D">
      <w:pPr>
        <w:spacing w:after="240" w:line="360" w:lineRule="auto"/>
        <w:jc w:val="center"/>
        <w:rPr>
          <w:rFonts w:ascii="Arial" w:hAnsi="Arial" w:cs="Arial"/>
          <w:b/>
          <w:bCs/>
        </w:rPr>
      </w:pPr>
    </w:p>
    <w:p w:rsidR="003B62BD" w:rsidRDefault="008E5837">
      <w:pPr>
        <w:spacing w:after="240" w:line="360" w:lineRule="auto"/>
        <w:jc w:val="center"/>
        <w:rPr>
          <w:rFonts w:ascii="Arial" w:hAnsi="Arial" w:cs="Arial"/>
          <w:b/>
          <w:bCs/>
        </w:rPr>
      </w:pPr>
      <w:r>
        <w:rPr>
          <w:rFonts w:ascii="Arial" w:hAnsi="Arial" w:cs="Arial"/>
          <w:b/>
          <w:bCs/>
        </w:rPr>
        <w:t>RESUMO</w:t>
      </w:r>
    </w:p>
    <w:p w:rsidR="003B62BD" w:rsidRPr="008F2121" w:rsidRDefault="008E5837" w:rsidP="00B24E44">
      <w:pPr>
        <w:spacing w:line="360" w:lineRule="auto"/>
        <w:jc w:val="both"/>
        <w:rPr>
          <w:rFonts w:ascii="Arial" w:hAnsi="Arial" w:cs="Arial"/>
        </w:rPr>
      </w:pPr>
      <w:r w:rsidRPr="008F2121">
        <w:rPr>
          <w:rFonts w:ascii="Arial" w:hAnsi="Arial" w:cs="Arial"/>
        </w:rPr>
        <w:t>O objetivo deste trabalho é analisar como a reforma tributária vai afetar os serviços contábeis no Brasil. O estudo busca entender os principais desafios e oportunidades que essa mudança traz para as empresas de contabilidade, além de como isso implica na formação e qualificação dos profissionais da área. A pesquisa foi exploratória, utilizando principalmente livros e artigos como fonte de dados. A análise foi feita qualitativamente, o que ajudou a identificar tendências sobre a reforma tributária e seus efeitos na contabilidade. Os resultados mostraram que a reforma terá grande impacto nos serviços contábeis, principalmente porque as empresas precisarão se adaptar às novas regras de arrecadação. Isso significa que elas enfrentarão dificuldades para atualizar seus processos e capacitar seus profissionais. Concluiu-se que a reforma tributária trará mudanças importantes para a contabilidade no Brasil, exigindo que os profissionais se preparem para o novo sistema tributário. O estudo enfatiza a necessidade de planejamento estratégico por parte das empresas contábeis para enfrentar os desafios e aproveitar as oportunidades geradas pela reforma.</w:t>
      </w:r>
    </w:p>
    <w:p w:rsidR="003B62BD" w:rsidRDefault="003B62BD">
      <w:pPr>
        <w:spacing w:line="360" w:lineRule="auto"/>
        <w:jc w:val="both"/>
        <w:rPr>
          <w:rFonts w:ascii="Arial" w:hAnsi="Arial" w:cs="Arial"/>
        </w:rPr>
      </w:pPr>
    </w:p>
    <w:p w:rsidR="003B62BD" w:rsidRDefault="008E5837">
      <w:pPr>
        <w:spacing w:line="360" w:lineRule="auto"/>
        <w:jc w:val="both"/>
        <w:rPr>
          <w:rFonts w:ascii="Arial" w:hAnsi="Arial" w:cs="Arial"/>
          <w:lang w:val="en-US"/>
        </w:rPr>
      </w:pPr>
      <w:r w:rsidRPr="00B17249">
        <w:rPr>
          <w:rFonts w:ascii="Arial" w:hAnsi="Arial" w:cs="Arial"/>
          <w:b/>
        </w:rPr>
        <w:t>Palavras-chave</w:t>
      </w:r>
      <w:r>
        <w:rPr>
          <w:rFonts w:ascii="Arial" w:hAnsi="Arial" w:cs="Arial"/>
        </w:rPr>
        <w:t xml:space="preserve">: Reforma Tributária. Serviços contábeis. Impactos. Formação Profissional. Desafios. </w:t>
      </w:r>
      <w:r>
        <w:rPr>
          <w:rFonts w:ascii="Arial" w:hAnsi="Arial" w:cs="Arial"/>
          <w:lang w:val="en-US"/>
        </w:rPr>
        <w:t>Oportunidades.</w:t>
      </w:r>
    </w:p>
    <w:p w:rsidR="003B62BD" w:rsidRDefault="003B62BD">
      <w:pPr>
        <w:spacing w:line="360" w:lineRule="auto"/>
        <w:rPr>
          <w:rFonts w:ascii="Arial" w:hAnsi="Arial" w:cs="Arial"/>
          <w:b/>
          <w:bCs/>
          <w:lang w:val="en-US"/>
        </w:rPr>
      </w:pPr>
    </w:p>
    <w:p w:rsidR="003B62BD" w:rsidRDefault="003B62BD">
      <w:pPr>
        <w:spacing w:line="360" w:lineRule="auto"/>
        <w:jc w:val="both"/>
        <w:rPr>
          <w:rFonts w:ascii="Arial" w:hAnsi="Arial" w:cs="Arial"/>
        </w:rPr>
      </w:pPr>
    </w:p>
    <w:p w:rsidR="003B62BD" w:rsidRPr="003B0A0A" w:rsidRDefault="008E5837">
      <w:pPr>
        <w:rPr>
          <w:rFonts w:ascii="Arial" w:hAnsi="Arial" w:cs="Arial"/>
          <w:color w:val="FF0000"/>
        </w:rPr>
      </w:pPr>
      <w:r w:rsidRPr="003B0A0A">
        <w:rPr>
          <w:rFonts w:ascii="Arial" w:hAnsi="Arial" w:cs="Arial"/>
          <w:color w:val="FF0000"/>
        </w:rPr>
        <w:br w:type="page"/>
      </w:r>
    </w:p>
    <w:p w:rsidR="003B62BD" w:rsidRDefault="008E5837">
      <w:pPr>
        <w:shd w:val="clear" w:color="auto" w:fill="FFFFFF" w:themeFill="background1"/>
        <w:spacing w:before="240" w:after="240" w:line="360" w:lineRule="auto"/>
        <w:rPr>
          <w:rFonts w:ascii="Arial" w:hAnsi="Arial" w:cs="Arial"/>
          <w:b/>
          <w:bCs/>
        </w:rPr>
      </w:pPr>
      <w:r>
        <w:rPr>
          <w:rFonts w:ascii="Arial" w:hAnsi="Arial" w:cs="Arial"/>
          <w:b/>
          <w:bCs/>
        </w:rPr>
        <w:lastRenderedPageBreak/>
        <w:t>1 INTRODUÇÃO</w:t>
      </w:r>
      <w:r>
        <w:rPr>
          <w:rFonts w:ascii="Arial" w:hAnsi="Arial" w:cs="Arial"/>
        </w:rPr>
        <w:t xml:space="preserve"> </w:t>
      </w:r>
      <w:bookmarkStart w:id="0" w:name="_GoBack"/>
      <w:bookmarkEnd w:id="0"/>
    </w:p>
    <w:p w:rsidR="003B62BD" w:rsidRDefault="008E5837">
      <w:pPr>
        <w:spacing w:after="120" w:line="360" w:lineRule="auto"/>
        <w:ind w:firstLine="709"/>
        <w:jc w:val="both"/>
        <w:rPr>
          <w:rFonts w:ascii="Arial" w:hAnsi="Arial" w:cs="Arial"/>
          <w:highlight w:val="yellow"/>
        </w:rPr>
      </w:pPr>
      <w:r>
        <w:rPr>
          <w:rFonts w:ascii="Arial" w:hAnsi="Arial" w:cs="Arial"/>
        </w:rPr>
        <w:t xml:space="preserve">A contabilidade é uma ciência social que se dedica ao estudo do patrimônio das entidades econômico-administrativas, com o objetivo principal de controlar as variações que ocorrem nesse patrimônio (RIBEIRO, 2018). Ela desempenha um papel fundamental na gestão das empresas fornecendo informações precisas de seus bens, direitos e obrigações para auxiliar nas tomadas de decisões estratégicas e operacionais. </w:t>
      </w:r>
    </w:p>
    <w:p w:rsidR="003B62BD" w:rsidRDefault="008E5837">
      <w:pPr>
        <w:spacing w:after="120" w:line="360" w:lineRule="auto"/>
        <w:ind w:firstLine="709"/>
        <w:jc w:val="both"/>
        <w:rPr>
          <w:rFonts w:ascii="Arial" w:hAnsi="Arial" w:cs="Arial"/>
        </w:rPr>
      </w:pPr>
      <w:r>
        <w:rPr>
          <w:rFonts w:ascii="Arial" w:hAnsi="Arial" w:cs="Arial"/>
        </w:rPr>
        <w:t xml:space="preserve">Desde os tempos antigos, a Contabilidade tem desempenhado um papel fundamental no fornecimento de informações. Com o tempo, o governo passou a utilizá-la para a arrecadação de impostos, tornando-a obrigatória para a maioria das empresas (MARION, 2022). </w:t>
      </w:r>
    </w:p>
    <w:p w:rsidR="003B62BD" w:rsidRPr="00BE15A9" w:rsidRDefault="008E5837">
      <w:pPr>
        <w:spacing w:after="120" w:line="360" w:lineRule="auto"/>
        <w:ind w:firstLine="709"/>
        <w:jc w:val="both"/>
        <w:rPr>
          <w:rFonts w:ascii="Arial" w:hAnsi="Arial" w:cs="Arial"/>
        </w:rPr>
      </w:pPr>
      <w:r>
        <w:rPr>
          <w:rFonts w:ascii="Arial" w:hAnsi="Arial" w:cs="Arial"/>
        </w:rPr>
        <w:t xml:space="preserve">A Contabilidade pode ser abordada de forma ampla, englobando todas as empresas, ou de maneira específica, sendo aplicada a um determinado ramo de atividade ou setor econômico (MARION, 2022).  Assim, há diferentes ramos dentro da contabilidade, e </w:t>
      </w:r>
      <w:r w:rsidRPr="00BE15A9">
        <w:rPr>
          <w:rFonts w:ascii="Arial" w:hAnsi="Arial" w:cs="Arial"/>
        </w:rPr>
        <w:t xml:space="preserve">dois deles são a Contabilidade Tributária e a Contabilidade Fiscal. </w:t>
      </w:r>
    </w:p>
    <w:p w:rsidR="003B62BD" w:rsidRPr="00BE15A9" w:rsidRDefault="008E5837">
      <w:pPr>
        <w:ind w:left="2268"/>
        <w:jc w:val="both"/>
        <w:rPr>
          <w:rFonts w:ascii="Arial" w:hAnsi="Arial" w:cs="Arial"/>
          <w:sz w:val="20"/>
          <w:szCs w:val="20"/>
        </w:rPr>
      </w:pPr>
      <w:r w:rsidRPr="00BE15A9">
        <w:rPr>
          <w:rFonts w:ascii="Arial" w:hAnsi="Arial" w:cs="Arial"/>
          <w:bCs/>
          <w:sz w:val="20"/>
          <w:szCs w:val="20"/>
        </w:rPr>
        <w:t xml:space="preserve">A contabilidade fiscal e tributária é o ramo da Contabilidade que tem por objetivo o estudo da teoria e a aplicação prática dos conceitos, dos princípios e das normas básicas da contabilidade e da legislação tributária, de forma simultânea e adequada. Representa uma área de especialização da contabilidade, tendo como o objetivo principal atender a legislação nas três esferas, União, Estado e Município, dessa forma busca cumprir a obrigação principal que é gerar o tributo e também cumprir as obrigações acessórias de gerar as informações de como se chegou ao montante do tributo. É também o ramo da Contabilidade responsável pelo gerenciamento dos tributos incidentes nas diversas atividades de uma empresa. Sendo assim, a contabilidade tributária ou fiscal é o ramo do setor contábil responsável por apurar, monitorar, planejar e gerir os tributos de uma empresa. Suas atividades medeiam a relação com o contribuinte. </w:t>
      </w:r>
      <w:r w:rsidRPr="00BE15A9">
        <w:rPr>
          <w:rStyle w:val="normaltextrun"/>
          <w:rFonts w:ascii="Arial" w:hAnsi="Arial" w:cs="Arial"/>
          <w:sz w:val="20"/>
          <w:szCs w:val="20"/>
        </w:rPr>
        <w:t>(CREPALDI; CREPALDI, 2019, p. 21</w:t>
      </w:r>
      <w:r w:rsidR="00CB57E9" w:rsidRPr="00BE15A9">
        <w:rPr>
          <w:rStyle w:val="normaltextrun"/>
          <w:rFonts w:ascii="Arial" w:hAnsi="Arial" w:cs="Arial"/>
          <w:sz w:val="20"/>
          <w:szCs w:val="20"/>
        </w:rPr>
        <w:t>-</w:t>
      </w:r>
      <w:r w:rsidRPr="00BE15A9">
        <w:rPr>
          <w:rStyle w:val="normaltextrun"/>
          <w:rFonts w:ascii="Arial" w:hAnsi="Arial" w:cs="Arial"/>
          <w:sz w:val="20"/>
          <w:szCs w:val="20"/>
        </w:rPr>
        <w:t>22).</w:t>
      </w:r>
    </w:p>
    <w:p w:rsidR="003B62BD" w:rsidRDefault="003B62BD">
      <w:pPr>
        <w:ind w:firstLine="709"/>
        <w:jc w:val="both"/>
        <w:rPr>
          <w:rStyle w:val="normaltextrun"/>
          <w:rFonts w:ascii="Arial" w:hAnsi="Arial" w:cs="Arial"/>
          <w:color w:val="000000"/>
          <w:sz w:val="20"/>
          <w:szCs w:val="20"/>
        </w:rPr>
      </w:pPr>
    </w:p>
    <w:p w:rsidR="003B62BD" w:rsidRDefault="008E5837">
      <w:pPr>
        <w:spacing w:after="120" w:line="360" w:lineRule="auto"/>
        <w:ind w:firstLine="709"/>
        <w:jc w:val="both"/>
        <w:rPr>
          <w:rFonts w:ascii="Arial" w:hAnsi="Arial" w:cs="Arial"/>
        </w:rPr>
      </w:pPr>
      <w:r>
        <w:rPr>
          <w:rFonts w:ascii="Arial" w:hAnsi="Arial" w:cs="Arial"/>
        </w:rPr>
        <w:t xml:space="preserve">A Contabilidade Tributária é responsável pela aplicação das leis relacionadas a tributação e na minimização da carga tributária da empresa, envolvendo o planejamento tributário estratégico. Já a contabilidade Fiscal é a área encarregada pela apresentação da declaração de impostos, cumprimento das leis tributárias e a manutenção de registros contábeis em conformidade com as leis. </w:t>
      </w:r>
    </w:p>
    <w:p w:rsidR="003B62BD" w:rsidRDefault="008E5837">
      <w:pPr>
        <w:spacing w:after="120" w:line="360" w:lineRule="auto"/>
        <w:ind w:firstLine="709"/>
        <w:jc w:val="both"/>
        <w:rPr>
          <w:rFonts w:ascii="Arial" w:hAnsi="Arial" w:cs="Arial"/>
        </w:rPr>
      </w:pPr>
      <w:r>
        <w:rPr>
          <w:rFonts w:ascii="Arial" w:hAnsi="Arial" w:cs="Arial"/>
        </w:rPr>
        <w:t xml:space="preserve">Com o passar dos anos, o crescimento econômico e social, viu-se a necessidade da implementação da reforma tributária. Considerando que o sistema </w:t>
      </w:r>
      <w:r>
        <w:rPr>
          <w:rFonts w:ascii="Arial" w:hAnsi="Arial" w:cs="Arial"/>
        </w:rPr>
        <w:lastRenderedPageBreak/>
        <w:t>tributário se tornou ultrapassado e complexo, resultando em diversos problemas na arrecadação de tributos. (BARROSO, 2024).</w:t>
      </w:r>
    </w:p>
    <w:p w:rsidR="003B62BD" w:rsidRDefault="008E5837">
      <w:pPr>
        <w:spacing w:after="120" w:line="360" w:lineRule="auto"/>
        <w:ind w:firstLine="709"/>
        <w:jc w:val="both"/>
        <w:rPr>
          <w:rFonts w:ascii="Arial" w:hAnsi="Arial" w:cs="Arial"/>
        </w:rPr>
      </w:pPr>
      <w:r>
        <w:rPr>
          <w:rFonts w:ascii="Arial" w:hAnsi="Arial" w:cs="Arial"/>
        </w:rPr>
        <w:t>A necessidade da reforma tributária no Brasil está em discussão há pelo menos 40 anos. Desde então várias tentativas foram feitas, mas não havia avanço significativo. Até que no dia 15 de dezembro de 2023, a reforma tributária foi finalmente aprovada pela Câmara dos Deputados, representada pela emenda constitucional nº. 132. (Secretaria de Comunicação Social, 2023).</w:t>
      </w:r>
    </w:p>
    <w:p w:rsidR="003B62BD" w:rsidRDefault="008E5837">
      <w:pPr>
        <w:spacing w:after="120" w:line="360" w:lineRule="auto"/>
        <w:ind w:firstLine="709"/>
        <w:jc w:val="both"/>
        <w:rPr>
          <w:rFonts w:ascii="Arial" w:hAnsi="Arial" w:cs="Arial"/>
        </w:rPr>
      </w:pPr>
      <w:r w:rsidRPr="00420BA2">
        <w:rPr>
          <w:rFonts w:ascii="Arial" w:hAnsi="Arial" w:cs="Arial"/>
        </w:rPr>
        <w:t xml:space="preserve">Segundo as repórteres Mariah Aquino Rebeca Borges e Daniela Santos, </w:t>
      </w:r>
      <w:r w:rsidR="00420BA2" w:rsidRPr="00420BA2">
        <w:rPr>
          <w:rFonts w:ascii="Arial" w:hAnsi="Arial" w:cs="Arial"/>
        </w:rPr>
        <w:t xml:space="preserve">EM </w:t>
      </w:r>
      <w:r w:rsidRPr="00420BA2">
        <w:rPr>
          <w:rFonts w:ascii="Arial" w:hAnsi="Arial" w:cs="Arial"/>
        </w:rPr>
        <w:t xml:space="preserve">matéria </w:t>
      </w:r>
      <w:r w:rsidR="00420BA2" w:rsidRPr="00420BA2">
        <w:rPr>
          <w:rFonts w:ascii="Arial" w:hAnsi="Arial" w:cs="Arial"/>
        </w:rPr>
        <w:t xml:space="preserve">publicada </w:t>
      </w:r>
      <w:r w:rsidRPr="00420BA2">
        <w:rPr>
          <w:rFonts w:ascii="Arial" w:hAnsi="Arial" w:cs="Arial"/>
        </w:rPr>
        <w:t xml:space="preserve">no portal Metrópoles, </w:t>
      </w:r>
      <w:r>
        <w:rPr>
          <w:rFonts w:ascii="Arial" w:hAnsi="Arial" w:cs="Arial"/>
        </w:rPr>
        <w:t>a principal razão para essa demora está na complexidade do sistema tributário atual, que envolve diferentes tributos em múltiplos níveis de governo (federal, estadual e municipal), dificultando a construção de uma reforma eficaz. Além disso, há a resistência política, já que diferentes setores e estados possuem interesses divergentes sobre como a reforma deve ser realizada. Outro fator importante é a falta de consenso sobre o modelo de reforma, que envolve questões técnicas e econômicas, além de ser um tema polêmico e difícil de negociar. A reforma também foi adiada em favor de outras pautas prioritárias ao longo das últimas décadas, o que contribuiu para sua demora.</w:t>
      </w:r>
    </w:p>
    <w:p w:rsidR="003B62BD" w:rsidRDefault="008E5837">
      <w:pPr>
        <w:pStyle w:val="paragraph"/>
        <w:spacing w:before="0" w:beforeAutospacing="0" w:after="120" w:afterAutospacing="0" w:line="360" w:lineRule="auto"/>
        <w:ind w:firstLine="705"/>
        <w:jc w:val="both"/>
        <w:textAlignment w:val="baseline"/>
        <w:rPr>
          <w:rStyle w:val="eop"/>
          <w:rFonts w:ascii="Arial" w:eastAsiaTheme="majorEastAsia" w:hAnsi="Arial" w:cs="Arial"/>
          <w:lang w:val="pt-BR"/>
        </w:rPr>
      </w:pPr>
      <w:r>
        <w:rPr>
          <w:rStyle w:val="normaltextrun"/>
          <w:rFonts w:ascii="Arial" w:eastAsiaTheme="majorEastAsia" w:hAnsi="Arial" w:cs="Arial"/>
          <w:lang w:val="pt-BR"/>
        </w:rPr>
        <w:t>Com o objetivo de simplificar o sistema tributário brasileiro a reforma tributária tem como principal eixo a unificação de 5 tributos, sobre bens e serviços, que hoje são cobrados com alíquotas diferentes em âmbitos federal, estadual e municipal. Assim, houve a criação de um novo e único tributo que unificou os cinco tributos extintos. </w:t>
      </w:r>
      <w:r>
        <w:rPr>
          <w:rStyle w:val="eop"/>
          <w:rFonts w:ascii="Arial" w:eastAsiaTheme="majorEastAsia" w:hAnsi="Arial" w:cs="Arial"/>
          <w:lang w:val="pt-BR"/>
        </w:rPr>
        <w:t> </w:t>
      </w:r>
    </w:p>
    <w:p w:rsidR="003B62BD" w:rsidRDefault="008E5837">
      <w:pPr>
        <w:pStyle w:val="paragraph"/>
        <w:spacing w:before="0" w:beforeAutospacing="0" w:after="120" w:afterAutospacing="0" w:line="360" w:lineRule="auto"/>
        <w:ind w:firstLine="705"/>
        <w:jc w:val="both"/>
        <w:textAlignment w:val="baseline"/>
        <w:rPr>
          <w:rStyle w:val="eop"/>
          <w:rFonts w:ascii="Arial" w:eastAsiaTheme="majorEastAsia" w:hAnsi="Arial" w:cs="Arial"/>
          <w:lang w:val="pt-BR"/>
        </w:rPr>
      </w:pPr>
      <w:r>
        <w:rPr>
          <w:rStyle w:val="normaltextrun"/>
          <w:rFonts w:ascii="Arial" w:eastAsiaTheme="majorEastAsia" w:hAnsi="Arial" w:cs="Arial"/>
          <w:lang w:val="pt-BR"/>
        </w:rPr>
        <w:t>Esse novo tributo, intitulado como IVA Dual (Imposto sobre Valor Arrecadado), inclui a Contribuição sobre Bens e Serviços (CBS), de âmbito federal, substituindo o PIS e COFINS, bem como um Imposto sobre Bens e Serviços (IBS), subnacional, substituindo os impostos ICMS (estadual) e ainda o Imposto Sobre Serviços (ISS) de âmbito municipal. </w:t>
      </w:r>
      <w:r>
        <w:rPr>
          <w:rStyle w:val="eop"/>
          <w:rFonts w:ascii="Arial" w:eastAsiaTheme="majorEastAsia" w:hAnsi="Arial" w:cs="Arial"/>
          <w:lang w:val="pt-BR"/>
        </w:rPr>
        <w:t> </w:t>
      </w:r>
    </w:p>
    <w:p w:rsidR="003B62BD" w:rsidRDefault="008E5837">
      <w:pPr>
        <w:spacing w:after="120" w:line="360" w:lineRule="auto"/>
        <w:ind w:firstLine="709"/>
        <w:jc w:val="both"/>
        <w:rPr>
          <w:rFonts w:ascii="Arial" w:hAnsi="Arial" w:cs="Arial"/>
        </w:rPr>
      </w:pPr>
      <w:r>
        <w:rPr>
          <w:rFonts w:ascii="Arial" w:hAnsi="Arial" w:cs="Arial"/>
        </w:rPr>
        <w:t xml:space="preserve">A reforma tributária visa a simplificação e a transparência do sistema tributário, mas com tantas inovações e mudanças, podem surgir dúvidas quanto aos impactos e a transição de cobrança desses tributos, já que deixará de ser arrecadado na origem, ou seja, no local de produção e começará a ser cobrado no destino, local de consumo, </w:t>
      </w:r>
      <w:r>
        <w:rPr>
          <w:rFonts w:ascii="Arial" w:hAnsi="Arial" w:cs="Arial"/>
        </w:rPr>
        <w:lastRenderedPageBreak/>
        <w:t xml:space="preserve">promovendo alterações para as empresas contábeis. Com base nessas mudanças construiu-se o problema deste estudo: como ficará a cobrança desses tributos e seus impactos nos serviços contábeis? </w:t>
      </w:r>
    </w:p>
    <w:p w:rsidR="003B62BD" w:rsidRDefault="008E5837">
      <w:pPr>
        <w:spacing w:after="120" w:line="360" w:lineRule="auto"/>
        <w:ind w:firstLine="709"/>
        <w:jc w:val="both"/>
        <w:rPr>
          <w:rFonts w:ascii="Arial" w:hAnsi="Arial" w:cs="Arial"/>
        </w:rPr>
      </w:pPr>
      <w:r>
        <w:rPr>
          <w:rFonts w:ascii="Arial" w:hAnsi="Arial" w:cs="Arial"/>
        </w:rPr>
        <w:t xml:space="preserve">Segundo o Conselho Federal de Contabilidade (CFC), acredita-se que a reforma tributária poderá ter impactos significativos sobre as empresas de serviços contábeis, no Brasil. Estes podem acabar por confundir o modo de operação dessas empresas, exigindo profissionais mais qualificados e atualizados sobre o assunto, o que poderá afetar diretamente o mercado de trabalho nesta área. </w:t>
      </w:r>
      <w:r>
        <w:rPr>
          <w:rStyle w:val="eop"/>
          <w:rFonts w:ascii="Arial" w:eastAsiaTheme="majorEastAsia" w:hAnsi="Arial" w:cs="Arial"/>
        </w:rPr>
        <w:t>Diante do exposto, o</w:t>
      </w:r>
      <w:r>
        <w:rPr>
          <w:rFonts w:ascii="Arial" w:hAnsi="Arial" w:cs="Arial"/>
        </w:rPr>
        <w:t xml:space="preserve"> objetivo geral deste trabalho é analisar como a reforma do sistema tributário irá afetar os serviços contábeis no Brasil.</w:t>
      </w:r>
    </w:p>
    <w:p w:rsidR="003B62BD" w:rsidRDefault="008E5837">
      <w:pPr>
        <w:spacing w:line="360" w:lineRule="auto"/>
        <w:ind w:firstLine="709"/>
        <w:jc w:val="both"/>
        <w:rPr>
          <w:rFonts w:ascii="Arial" w:hAnsi="Arial" w:cs="Arial"/>
          <w:color w:val="FF0000"/>
        </w:rPr>
      </w:pPr>
      <w:r>
        <w:rPr>
          <w:rFonts w:ascii="Arial" w:hAnsi="Arial" w:cs="Arial"/>
        </w:rPr>
        <w:t>Como objetivos específicos, a pesquisa buscará analisar a situação atual do sistema tributário, identificar problemas como complexidade e altas cargas fiscais, avaliar a reforma tributária e seus impactos, especialmente nas empresas de serviços contábeis, e examinar os efeitos da nova cobrança de tributos após a aprovação da emenda constitucional nº 132.</w:t>
      </w:r>
    </w:p>
    <w:p w:rsidR="003B62BD" w:rsidRDefault="008E5837">
      <w:pPr>
        <w:pStyle w:val="Ttulo1"/>
        <w:spacing w:line="360" w:lineRule="auto"/>
        <w:rPr>
          <w:rFonts w:ascii="Arial" w:hAnsi="Arial" w:cs="Arial"/>
          <w:sz w:val="24"/>
          <w:szCs w:val="24"/>
        </w:rPr>
      </w:pPr>
      <w:r>
        <w:rPr>
          <w:rFonts w:ascii="Arial" w:hAnsi="Arial" w:cs="Arial"/>
          <w:sz w:val="24"/>
          <w:szCs w:val="24"/>
        </w:rPr>
        <w:t>2 METODOLOGIA</w:t>
      </w:r>
    </w:p>
    <w:p w:rsidR="003B62BD" w:rsidRDefault="008E5837">
      <w:pPr>
        <w:spacing w:line="360" w:lineRule="auto"/>
        <w:ind w:firstLine="708"/>
        <w:jc w:val="both"/>
        <w:rPr>
          <w:rFonts w:ascii="Arial" w:hAnsi="Arial" w:cs="Arial"/>
        </w:rPr>
      </w:pPr>
      <w:r>
        <w:rPr>
          <w:rFonts w:ascii="Arial" w:hAnsi="Arial" w:cs="Arial"/>
        </w:rPr>
        <w:t>A metodologia consiste em uma pesquisa exploratória de natureza qualitativa, com foco na pesquisa bibliográfica. O estudo busca analisar fontes como livros, artigos acadêmicos e dissertações de autores renomados na área contábil e tributária,</w:t>
      </w:r>
      <w:r>
        <w:rPr>
          <w:rFonts w:ascii="Arial" w:hAnsi="Arial" w:cs="Arial"/>
          <w:b/>
          <w:bCs/>
        </w:rPr>
        <w:t xml:space="preserve"> </w:t>
      </w:r>
      <w:r>
        <w:rPr>
          <w:rFonts w:ascii="Arial" w:hAnsi="Arial" w:cs="Arial"/>
        </w:rPr>
        <w:t>para compreender os efeitos da reforma tributária sobre os serviços contábeis.</w:t>
      </w:r>
    </w:p>
    <w:p w:rsidR="003B62BD" w:rsidRDefault="008E5837">
      <w:pPr>
        <w:spacing w:line="360" w:lineRule="auto"/>
        <w:ind w:firstLine="708"/>
        <w:jc w:val="both"/>
        <w:rPr>
          <w:rFonts w:ascii="Arial" w:hAnsi="Arial" w:cs="Arial"/>
        </w:rPr>
      </w:pPr>
      <w:r>
        <w:rPr>
          <w:rFonts w:ascii="Arial" w:hAnsi="Arial" w:cs="Arial"/>
        </w:rPr>
        <w:t>A pesquisa não tem a intenção de realizar generalizações estatísticas, mas sim de interpretar as mudanças legislativas e seus impactos no trabalho dos profissionais de contabilidade, nas obrigações fiscais das empresas e na adaptação dos contadores à nova legislação. A análise qualitativa permite uma melhor compreensão das implicações da reforma, identificando desafios, oportunidades e as transformações nos serviços prestados pelos contadores, como a consultoria tributária e o uso de novos sistemas contábeis.</w:t>
      </w:r>
    </w:p>
    <w:p w:rsidR="003B62BD" w:rsidRDefault="008E5837">
      <w:pPr>
        <w:spacing w:line="360" w:lineRule="auto"/>
        <w:jc w:val="both"/>
        <w:rPr>
          <w:rFonts w:ascii="Arial" w:hAnsi="Arial" w:cs="Arial"/>
          <w:color w:val="FF0000"/>
        </w:rPr>
      </w:pPr>
      <w:r>
        <w:rPr>
          <w:rFonts w:ascii="Arial" w:hAnsi="Arial" w:cs="Arial"/>
        </w:rPr>
        <w:t xml:space="preserve"> </w:t>
      </w:r>
      <w:r>
        <w:tab/>
      </w:r>
      <w:r>
        <w:rPr>
          <w:rFonts w:ascii="Arial" w:hAnsi="Arial" w:cs="Arial"/>
        </w:rPr>
        <w:t>Com base em uma revisão de análise descritiva da literatura, a metodologia visa oferecer uma análise teórica consistente sobre as consequências da reforma tributária no contexto contábil, considerando os aspectos técnicos e as demandas que surgem para os profissionais da área.</w:t>
      </w:r>
    </w:p>
    <w:p w:rsidR="003B62BD" w:rsidRDefault="003B62BD">
      <w:pPr>
        <w:spacing w:line="360" w:lineRule="auto"/>
        <w:jc w:val="both"/>
      </w:pPr>
    </w:p>
    <w:p w:rsidR="003B62BD" w:rsidRDefault="003B62BD">
      <w:pPr>
        <w:spacing w:line="360" w:lineRule="auto"/>
        <w:jc w:val="both"/>
      </w:pPr>
    </w:p>
    <w:p w:rsidR="003B62BD" w:rsidRDefault="003B62BD">
      <w:pPr>
        <w:spacing w:line="360" w:lineRule="auto"/>
        <w:jc w:val="both"/>
      </w:pPr>
    </w:p>
    <w:p w:rsidR="003B62BD" w:rsidRPr="00BE15A9" w:rsidRDefault="008E5837">
      <w:pPr>
        <w:pStyle w:val="Ttulo1"/>
        <w:spacing w:after="120" w:line="360" w:lineRule="auto"/>
        <w:jc w:val="both"/>
        <w:rPr>
          <w:rFonts w:ascii="Arial" w:hAnsi="Arial" w:cs="Arial"/>
          <w:sz w:val="24"/>
          <w:szCs w:val="24"/>
        </w:rPr>
      </w:pPr>
      <w:r w:rsidRPr="00BE15A9">
        <w:rPr>
          <w:rFonts w:ascii="Arial" w:hAnsi="Arial" w:cs="Arial"/>
          <w:sz w:val="24"/>
          <w:szCs w:val="24"/>
        </w:rPr>
        <w:t>3 Referencial Teórico</w:t>
      </w:r>
    </w:p>
    <w:p w:rsidR="003B62BD" w:rsidRPr="00BE15A9" w:rsidRDefault="008E5837">
      <w:pPr>
        <w:spacing w:line="360" w:lineRule="auto"/>
        <w:jc w:val="both"/>
        <w:rPr>
          <w:rFonts w:ascii="Arial" w:hAnsi="Arial" w:cs="Arial"/>
        </w:rPr>
      </w:pPr>
      <w:r w:rsidRPr="00BE15A9">
        <w:rPr>
          <w:rFonts w:ascii="Arial" w:hAnsi="Arial" w:cs="Arial"/>
        </w:rPr>
        <w:t>3.1 Sistema Tributário Nacional</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Sistema Tributário Nacional é o nome dado ao conjunto de regras destinadas a regular a instituição que cobra, arrecada e partilha os tributos. Em sentido amplo está tudo aqui que no ordenamento jurídico possa dizer respeito a exigências fiscais.</w:t>
      </w:r>
      <w:r>
        <w:rPr>
          <w:rFonts w:ascii="Segoe UI" w:eastAsia="Segoe UI" w:hAnsi="Segoe UI" w:cs="Segoe UI"/>
          <w:color w:val="363636"/>
        </w:rPr>
        <w:t xml:space="preserve"> </w:t>
      </w:r>
      <w:r w:rsidRPr="00E53D02">
        <w:rPr>
          <w:rFonts w:ascii="Arial" w:eastAsia="Arial" w:hAnsi="Arial" w:cs="Arial"/>
        </w:rPr>
        <w:t>(</w:t>
      </w:r>
      <w:r w:rsidR="00E53D02" w:rsidRPr="00E53D02">
        <w:rPr>
          <w:rFonts w:ascii="Arial" w:eastAsia="Arial" w:hAnsi="Arial" w:cs="Arial"/>
        </w:rPr>
        <w:t>CÂMAR DOS DEPUTADOS</w:t>
      </w:r>
      <w:r w:rsidRPr="00E53D02">
        <w:rPr>
          <w:rFonts w:ascii="Arial" w:eastAsia="Arial" w:hAnsi="Arial" w:cs="Arial"/>
        </w:rPr>
        <w:t>)</w:t>
      </w:r>
      <w:r w:rsidR="00E53D02">
        <w:rPr>
          <w:rStyle w:val="Refdenotaderodap"/>
          <w:rFonts w:ascii="Arial" w:eastAsia="Arial" w:hAnsi="Arial" w:cs="Arial"/>
        </w:rPr>
        <w:footnoteReference w:id="1"/>
      </w:r>
      <w:r w:rsidRPr="00E53D02">
        <w:rPr>
          <w:rFonts w:ascii="Arial" w:eastAsia="Arial" w:hAnsi="Arial" w:cs="Arial"/>
        </w:rPr>
        <w:t>.</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A concepção, atualmente, adotada pelo Supremo Tribunal Federal (STF) distingue cinco espécies tributárias, fazendo com que o Estado tenha cinco diferentes formas de exigir do cidadão uma contribuição pecuniária. E são elas: impostos, taxas, contribuições de melhoria, contribuições especiais e empréstimo compulsório.</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A Constituição Federal organiza o sistema tributário de forma a atender diferentes necessidades do Estado e da sociedade. Os impostos são cobrados em quatro diferentes bases, renda, patrimônio, consumo e comércio exterior. O curioso é que eles não dependem de uma atividade específica do Estado; é algo mais geral, relacionado à capacidade econômica de cada um. A Constituição Federal organiza o sistema tributário de forma a atender diferentes necessidades do Estado e da sociedade. Por exemplo, os impostos são cobrados com base em sinais de riqueza ou propriedade do contribuinte, como ter renda, possuir um imóvel ou comprar mercadorias. O curioso é que eles não dependem de uma atividade específica do Estado; é algo mais geral, relacionado à capacidade econômica de cada um. (Câmara dos Deputados, 2019).</w:t>
      </w:r>
    </w:p>
    <w:p w:rsidR="003B62BD" w:rsidRPr="00570C01" w:rsidRDefault="008E5837" w:rsidP="00570C01">
      <w:pPr>
        <w:spacing w:after="120"/>
        <w:ind w:left="2268"/>
        <w:jc w:val="both"/>
        <w:rPr>
          <w:rFonts w:ascii="Arial" w:eastAsia="Arial" w:hAnsi="Arial" w:cs="Arial"/>
          <w:sz w:val="20"/>
          <w:szCs w:val="20"/>
        </w:rPr>
      </w:pPr>
      <w:r w:rsidRPr="00570C01">
        <w:rPr>
          <w:rFonts w:ascii="Arial" w:hAnsi="Arial" w:cs="Arial"/>
          <w:sz w:val="20"/>
          <w:szCs w:val="20"/>
        </w:rPr>
        <w:t>As taxas são tributos que têm como fato gerador o exercício regular do poder de polícia, ou a utilização, efetiva ou potencial, de serviço público específico e divisível, prestado ao contribuinte ou posto à sua disposição. Pressupõe, portanto, atuação administrativa do Estado diretamente relacionada ao contribuinte e indicada pelo legislador como fato gerador da obrigação tributária. (</w:t>
      </w:r>
      <w:r w:rsidR="00570C01" w:rsidRPr="00570C01">
        <w:rPr>
          <w:rFonts w:ascii="Arial" w:hAnsi="Arial" w:cs="Arial"/>
          <w:sz w:val="20"/>
          <w:szCs w:val="20"/>
        </w:rPr>
        <w:t>PAULSEN</w:t>
      </w:r>
      <w:r w:rsidRPr="00570C01">
        <w:rPr>
          <w:rFonts w:ascii="Arial" w:hAnsi="Arial" w:cs="Arial"/>
          <w:sz w:val="20"/>
          <w:szCs w:val="20"/>
        </w:rPr>
        <w:t>, 2014, p. 28)</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lastRenderedPageBreak/>
        <w:t>Um exemplo de taxa seria quando o governo fiscaliza algo, como o IBAMA monitorando atividades ambientais, ou cobra pela emissão de um passaporte. No caso das contribuições de melhoria, é aquela situação em que uma obra pública valoriza o imóvel de alguém. (Câmara dos Deputados, 2019)</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A contribuição de melhoria é o tributo cobrado dos proprietários de imóveis que se beneficiaram de obras públicas, são exemplos, pavimentação, construção de rede de esgoto.</w:t>
      </w:r>
    </w:p>
    <w:p w:rsidR="003B62BD" w:rsidRDefault="008E5837">
      <w:pPr>
        <w:spacing w:after="120" w:line="360" w:lineRule="auto"/>
        <w:ind w:firstLine="703"/>
        <w:jc w:val="both"/>
        <w:rPr>
          <w:rFonts w:ascii="Arial" w:hAnsi="Arial" w:cs="Arial"/>
        </w:rPr>
      </w:pPr>
      <w:r>
        <w:rPr>
          <w:rFonts w:ascii="Arial" w:eastAsia="Arial" w:hAnsi="Arial" w:cs="Arial"/>
          <w:color w:val="000000" w:themeColor="text1"/>
        </w:rPr>
        <w:t xml:space="preserve"> </w:t>
      </w:r>
      <w:r>
        <w:rPr>
          <w:rFonts w:ascii="Arial" w:hAnsi="Arial" w:cs="Arial"/>
        </w:rPr>
        <w:t>Pressupondo tanto a atividade do Estado (realização de obra pública), como o enriquecimento do contribuinte (valorização imobiliária), as contribuições de melhoria apresentam-se como tributos com fato gerador misto. (</w:t>
      </w:r>
      <w:r w:rsidR="00A07D29">
        <w:rPr>
          <w:rFonts w:ascii="Arial" w:hAnsi="Arial" w:cs="Arial"/>
        </w:rPr>
        <w:t>PAULSEN</w:t>
      </w:r>
      <w:r>
        <w:rPr>
          <w:rFonts w:ascii="Arial" w:hAnsi="Arial" w:cs="Arial"/>
        </w:rPr>
        <w:t>, 2014.)</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Os empréstimos compulsórios são criados em situações extremas, como uma calamidade pública ou para fazer um investimento para a geração de recursos. Além disso, o Estado tem a obrigação de devolver o valor ao contribuinte depois. Como é algo tão sério, precisa de uma lei complementar aprovada por maioria absoluta no Congresso Nacional.</w:t>
      </w:r>
    </w:p>
    <w:p w:rsidR="003B62BD" w:rsidRDefault="008E5837">
      <w:pPr>
        <w:spacing w:after="120" w:line="360" w:lineRule="auto"/>
        <w:ind w:firstLine="703"/>
        <w:jc w:val="both"/>
        <w:rPr>
          <w:rFonts w:ascii="Arial" w:eastAsia="Arial" w:hAnsi="Arial" w:cs="Arial"/>
          <w:color w:val="000000" w:themeColor="text1"/>
        </w:rPr>
      </w:pPr>
      <w:r>
        <w:rPr>
          <w:rFonts w:ascii="Arial" w:hAnsi="Arial" w:cs="Arial"/>
        </w:rPr>
        <w:t>Os empréstimos compulsórios são tributos cujo critério de validação constitucional está na sua finalidade: gerar recursos para fazer frente a uma situação de calamidade ou guerra externa ou para investimento nacional relevante e urgente. (Paulsen, 2014).</w:t>
      </w:r>
    </w:p>
    <w:p w:rsidR="003B62BD" w:rsidRDefault="008E5837">
      <w:pPr>
        <w:spacing w:after="120"/>
        <w:ind w:firstLine="703"/>
        <w:jc w:val="both"/>
        <w:rPr>
          <w:rFonts w:ascii="Arial" w:eastAsia="Arial" w:hAnsi="Arial" w:cs="Arial"/>
          <w:color w:val="FF0000"/>
          <w:sz w:val="20"/>
          <w:szCs w:val="20"/>
        </w:rPr>
      </w:pPr>
      <w:r>
        <w:rPr>
          <w:rFonts w:ascii="Arial" w:eastAsia="Arial" w:hAnsi="Arial" w:cs="Arial"/>
          <w:color w:val="000000" w:themeColor="text1"/>
        </w:rPr>
        <w:t>Qualquer uma dessas espécies pode ser denominada tributo, pois compartilham a característica de serem prestações pecuniárias obrigatórias, decorrentes de um ato lícito. Assim, as disposições do regime tributário aplicam-se à sua cobrança.</w:t>
      </w:r>
    </w:p>
    <w:p w:rsidR="003B62BD" w:rsidRPr="00967FEE" w:rsidRDefault="008E5837" w:rsidP="00967FEE">
      <w:pPr>
        <w:spacing w:after="120"/>
        <w:ind w:left="2268"/>
        <w:jc w:val="both"/>
        <w:rPr>
          <w:rFonts w:ascii="Arial" w:eastAsia="Arial" w:hAnsi="Arial" w:cs="Arial"/>
          <w:sz w:val="20"/>
          <w:szCs w:val="20"/>
        </w:rPr>
      </w:pPr>
      <w:r w:rsidRPr="00967FEE">
        <w:rPr>
          <w:rFonts w:ascii="Arial" w:hAnsi="Arial" w:cs="Arial"/>
          <w:sz w:val="20"/>
          <w:szCs w:val="20"/>
        </w:rPr>
        <w:t>A Constituição Federal, ao estabelecer as competências tributárias, as limitações ao poder de tributar e a repartição de receitas tributárias, permite que se extraia do seu próprio texto qual o conceito de tributo por ela considerado. Cuida-se de prestação em dinheiro exigida compulsoriamente, pelos entes políticos ou por outras pessoas jurídicas de direito público, de pessoas físicas ou jurídicas, com ou sem promessa de devolução, forte na ocorrência de situação estabelecida por lei que revele sua capacidade contributiva ou que se consubstancie em atividade estatal que lhe diga respeito diretamente, com vista à obtenção de recursos para o financiamento geral do Estado, para o financiamento de fins específicos realizados e promovidos pelo próprio Estado ou por terceiros no interesse público ou, ainda, para o custeio de atividades estatais diretamente relacionadas ao contribuinte. (</w:t>
      </w:r>
      <w:r w:rsidR="00967FEE" w:rsidRPr="00967FEE">
        <w:rPr>
          <w:rFonts w:ascii="Arial" w:hAnsi="Arial" w:cs="Arial"/>
          <w:sz w:val="20"/>
          <w:szCs w:val="20"/>
        </w:rPr>
        <w:t>PAULSEN</w:t>
      </w:r>
      <w:r w:rsidRPr="00967FEE">
        <w:rPr>
          <w:rFonts w:ascii="Arial" w:hAnsi="Arial" w:cs="Arial"/>
          <w:sz w:val="20"/>
          <w:szCs w:val="20"/>
        </w:rPr>
        <w:t>, 2014, p. 15)</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 xml:space="preserve">Qualquer um dos três níveis de governo pode instituir um novo tributo, todos eles têm o que se chama de “competência tributária”. </w:t>
      </w:r>
      <w:r>
        <w:rPr>
          <w:rFonts w:ascii="Arial" w:hAnsi="Arial" w:cs="Arial"/>
        </w:rPr>
        <w:t xml:space="preserve">A competência tributária de cada </w:t>
      </w:r>
      <w:r>
        <w:rPr>
          <w:rFonts w:ascii="Arial" w:hAnsi="Arial" w:cs="Arial"/>
        </w:rPr>
        <w:lastRenderedPageBreak/>
        <w:t>ente político é estabelecida taxativamente pela Constituição da República em seus arts. 145 a 149-A. As possibilidades de tributação são, portanto, numerus clausus. (Paulsen, 2014)</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 xml:space="preserve">Nos artigos 145 a 162 da Constituição Federal, estão as regras voltadas à divisão da competência tributária e definição dos fatos que podem ser tributos por cada um dos entes políticos. Essas normas têm a finalidade de estabelecer de forma clara e precisa a atribuição da competência tributária. A Constituição Federal organiza o sistema tributário de forma a atender diferentes necessidades do Estado e da sociedade. </w:t>
      </w:r>
    </w:p>
    <w:p w:rsidR="003B62BD" w:rsidRPr="000B5E66" w:rsidRDefault="008E5837" w:rsidP="000B5E66">
      <w:pPr>
        <w:spacing w:after="120"/>
        <w:ind w:left="2268"/>
        <w:jc w:val="both"/>
        <w:rPr>
          <w:rFonts w:ascii="Arial" w:eastAsia="Arial" w:hAnsi="Arial" w:cs="Arial"/>
          <w:sz w:val="20"/>
          <w:szCs w:val="20"/>
        </w:rPr>
      </w:pPr>
      <w:r w:rsidRPr="000B5E66">
        <w:rPr>
          <w:rFonts w:ascii="Arial" w:hAnsi="Arial" w:cs="Arial"/>
          <w:sz w:val="20"/>
          <w:szCs w:val="20"/>
        </w:rPr>
        <w:t>O Estado, como instituição indispensável à existência de uma sociedade organizada, depende de recursos para sua manutenção e para a realização dos seus objetivos. Isso independe da ideologia que inspire as instituições políticas, tampouco do seu estágio de desenvolvimento. (</w:t>
      </w:r>
      <w:r w:rsidR="000B5E66" w:rsidRPr="000B5E66">
        <w:rPr>
          <w:rFonts w:ascii="Arial" w:hAnsi="Arial" w:cs="Arial"/>
          <w:sz w:val="20"/>
          <w:szCs w:val="20"/>
        </w:rPr>
        <w:t xml:space="preserve">PAULSEN, </w:t>
      </w:r>
      <w:r w:rsidRPr="000B5E66">
        <w:rPr>
          <w:rFonts w:ascii="Arial" w:hAnsi="Arial" w:cs="Arial"/>
          <w:sz w:val="20"/>
          <w:szCs w:val="20"/>
        </w:rPr>
        <w:t>2014, p. 1)</w:t>
      </w:r>
    </w:p>
    <w:p w:rsidR="003B62BD" w:rsidRPr="000B5E66" w:rsidRDefault="008E5837">
      <w:pPr>
        <w:spacing w:after="120" w:line="360" w:lineRule="auto"/>
        <w:ind w:firstLine="703"/>
        <w:jc w:val="both"/>
        <w:rPr>
          <w:rFonts w:ascii="Arial" w:eastAsia="Arial" w:hAnsi="Arial" w:cs="Arial"/>
        </w:rPr>
      </w:pPr>
      <w:r w:rsidRPr="000B5E66">
        <w:rPr>
          <w:rFonts w:ascii="Arial" w:eastAsia="Arial" w:hAnsi="Arial" w:cs="Arial"/>
        </w:rPr>
        <w:t>Dentro dessa Repartição Constitucional de Competências Tributárias há a divisão de impostos, representado pela Quadro 1.</w:t>
      </w:r>
    </w:p>
    <w:p w:rsidR="003B62BD" w:rsidRPr="000B5E66" w:rsidRDefault="008E5837">
      <w:pPr>
        <w:spacing w:after="120" w:line="360" w:lineRule="auto"/>
        <w:jc w:val="center"/>
        <w:rPr>
          <w:rFonts w:ascii="Arial" w:eastAsia="Arial" w:hAnsi="Arial" w:cs="Arial"/>
          <w:sz w:val="20"/>
          <w:szCs w:val="20"/>
        </w:rPr>
      </w:pPr>
      <w:r w:rsidRPr="000B5E66">
        <w:rPr>
          <w:rFonts w:ascii="Arial" w:eastAsia="Arial" w:hAnsi="Arial" w:cs="Arial"/>
          <w:bCs/>
          <w:sz w:val="20"/>
          <w:szCs w:val="20"/>
        </w:rPr>
        <w:t>Quadro 1: Divisão de Impostos quanto à competência tributária</w:t>
      </w:r>
    </w:p>
    <w:tbl>
      <w:tblPr>
        <w:tblStyle w:val="Tabelacomgrade"/>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245"/>
        <w:gridCol w:w="4245"/>
      </w:tblGrid>
      <w:tr w:rsidR="003B62BD">
        <w:trPr>
          <w:trHeight w:val="300"/>
        </w:trPr>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b/>
                <w:bCs/>
              </w:rPr>
              <w:t>Ente</w:t>
            </w:r>
          </w:p>
        </w:tc>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b/>
                <w:bCs/>
              </w:rPr>
              <w:t>Imposto</w:t>
            </w:r>
          </w:p>
        </w:tc>
      </w:tr>
      <w:tr w:rsidR="003B62BD">
        <w:trPr>
          <w:trHeight w:val="300"/>
        </w:trPr>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União</w:t>
            </w:r>
          </w:p>
        </w:tc>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II, IE, IR, IPI, IOF, ITR e IGF</w:t>
            </w:r>
          </w:p>
        </w:tc>
      </w:tr>
      <w:tr w:rsidR="003B62BD">
        <w:trPr>
          <w:trHeight w:val="300"/>
        </w:trPr>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Estados e Distrito Federal</w:t>
            </w:r>
          </w:p>
        </w:tc>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ITCD, ICMS e IPVA</w:t>
            </w:r>
          </w:p>
        </w:tc>
      </w:tr>
      <w:tr w:rsidR="003B62BD">
        <w:trPr>
          <w:trHeight w:val="300"/>
        </w:trPr>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Municípios e Distrito Federal</w:t>
            </w:r>
          </w:p>
        </w:tc>
        <w:tc>
          <w:tcPr>
            <w:tcW w:w="4245" w:type="dxa"/>
            <w:tcMar>
              <w:left w:w="105" w:type="dxa"/>
              <w:right w:w="105" w:type="dxa"/>
            </w:tcMar>
          </w:tcPr>
          <w:p w:rsidR="003B62BD" w:rsidRDefault="008E5837">
            <w:pPr>
              <w:spacing w:after="120" w:line="360" w:lineRule="auto"/>
              <w:ind w:firstLine="703"/>
              <w:jc w:val="both"/>
              <w:rPr>
                <w:rFonts w:ascii="Arial" w:eastAsia="Arial" w:hAnsi="Arial" w:cs="Arial"/>
              </w:rPr>
            </w:pPr>
            <w:r>
              <w:rPr>
                <w:rFonts w:ascii="Arial" w:eastAsia="Arial" w:hAnsi="Arial" w:cs="Arial"/>
              </w:rPr>
              <w:t>IPTU, ITBI e ISS</w:t>
            </w:r>
          </w:p>
        </w:tc>
      </w:tr>
    </w:tbl>
    <w:p w:rsidR="003B62BD" w:rsidRPr="00A07D29" w:rsidRDefault="008E5837">
      <w:pPr>
        <w:tabs>
          <w:tab w:val="center" w:pos="4887"/>
          <w:tab w:val="left" w:pos="6564"/>
        </w:tabs>
        <w:spacing w:after="120" w:line="360" w:lineRule="auto"/>
        <w:jc w:val="center"/>
        <w:rPr>
          <w:rFonts w:ascii="Arial" w:eastAsia="Arial" w:hAnsi="Arial" w:cs="Arial"/>
          <w:sz w:val="20"/>
          <w:szCs w:val="20"/>
        </w:rPr>
      </w:pPr>
      <w:r w:rsidRPr="00A07D29">
        <w:rPr>
          <w:rFonts w:ascii="Arial" w:eastAsia="Arial" w:hAnsi="Arial" w:cs="Arial"/>
          <w:sz w:val="20"/>
          <w:szCs w:val="20"/>
        </w:rPr>
        <w:t>Fonte</w:t>
      </w:r>
      <w:r w:rsidR="00A07D29" w:rsidRPr="00A07D29">
        <w:rPr>
          <w:rFonts w:ascii="Arial" w:eastAsia="Arial" w:hAnsi="Arial" w:cs="Arial"/>
          <w:sz w:val="20"/>
          <w:szCs w:val="20"/>
        </w:rPr>
        <w:t>:</w:t>
      </w:r>
      <w:r w:rsidR="00A07D29" w:rsidRPr="00A07D29">
        <w:rPr>
          <w:rFonts w:ascii="Arial" w:hAnsi="Arial" w:cs="Arial"/>
          <w:sz w:val="20"/>
          <w:szCs w:val="20"/>
        </w:rPr>
        <w:t xml:space="preserve"> PAULSEN, 2014)</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O artigo 158, II, da Constituição Federal, diz que “Compete aos Estados e ao Distrito Federal a participação no produto de arrecadação de impostos da União, conforme o disposto no art. 159,1”. Ou seja, parte do valor arrecadado, a partir de impostos, pela União deve ser distribuído para os Estados e o Distrito Federal.</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 xml:space="preserve">O IR e o IPI são exemplos, ambos são instituídos e cobrados pela União, porém são compartilhados com Estados e Distrito Federal. </w:t>
      </w:r>
    </w:p>
    <w:p w:rsidR="003B62BD" w:rsidRDefault="008E5837">
      <w:pPr>
        <w:spacing w:line="360" w:lineRule="auto"/>
        <w:ind w:firstLine="708"/>
        <w:jc w:val="both"/>
        <w:rPr>
          <w:rFonts w:ascii="Arial" w:hAnsi="Arial" w:cs="Arial"/>
        </w:rPr>
      </w:pPr>
      <w:r>
        <w:rPr>
          <w:rFonts w:ascii="Arial" w:hAnsi="Arial" w:cs="Arial"/>
        </w:rPr>
        <w:t xml:space="preserve">Segundo o Conselho Federal de Contabilidade, A Reforma Tributária no Brasil é um tema crucial e complexo, que tem sido debatido ao longo de muitos anos. Em sua obra Curso de Direito Tributário (6 edição) Leoandro Paulsen aponta a complexidade do sistema tributário brasileiro destacando a dificuldade que </w:t>
      </w:r>
      <w:r>
        <w:rPr>
          <w:rFonts w:ascii="Arial" w:hAnsi="Arial" w:cs="Arial"/>
        </w:rPr>
        <w:lastRenderedPageBreak/>
        <w:t xml:space="preserve">contribuintes e a administração enfrentam para entender e cumprir as obrigações fiscais, além de defender a necessidade de uma reforma tributária, para tornar o sistema mais transparente, justo e eficiente. </w:t>
      </w:r>
    </w:p>
    <w:p w:rsidR="003B62BD" w:rsidRDefault="008E5837">
      <w:pPr>
        <w:spacing w:line="360" w:lineRule="auto"/>
        <w:ind w:firstLine="708"/>
        <w:jc w:val="both"/>
        <w:rPr>
          <w:rFonts w:ascii="Arial" w:hAnsi="Arial" w:cs="Arial"/>
        </w:rPr>
      </w:pPr>
      <w:r>
        <w:rPr>
          <w:rFonts w:ascii="Arial" w:hAnsi="Arial" w:cs="Arial"/>
        </w:rPr>
        <w:t>Um dos pontos centrais dessas discussões é a simplificação do sistema, já que o Brasil possui uma grande quantidade de tributos em níveis federal, estadual e municipal, o que dificulta o cumprimento das obrigações fiscais para os contribuintes e gera desafios para os profissionais da contabilidade. A proposta de racionalizar o sistema busca, além de facilitar o pagamento de tributos, reduzir o custo de conformidade e combater a sonegação fiscal.</w:t>
      </w:r>
    </w:p>
    <w:p w:rsidR="003B62BD" w:rsidRDefault="008E5837">
      <w:pPr>
        <w:spacing w:line="360" w:lineRule="auto"/>
        <w:ind w:firstLine="708"/>
        <w:jc w:val="both"/>
        <w:rPr>
          <w:rFonts w:ascii="Arial" w:hAnsi="Arial" w:cs="Arial"/>
        </w:rPr>
      </w:pPr>
      <w:r>
        <w:rPr>
          <w:rFonts w:ascii="Arial" w:hAnsi="Arial" w:cs="Arial"/>
        </w:rPr>
        <w:t xml:space="preserve">As </w:t>
      </w:r>
      <w:r>
        <w:rPr>
          <w:rStyle w:val="Forte"/>
          <w:rFonts w:ascii="Arial" w:hAnsi="Arial" w:cs="Arial"/>
          <w:b w:val="0"/>
        </w:rPr>
        <w:t>bases de tributação</w:t>
      </w:r>
      <w:r>
        <w:rPr>
          <w:rFonts w:ascii="Arial" w:hAnsi="Arial" w:cs="Arial"/>
        </w:rPr>
        <w:t xml:space="preserve"> referem-se aos critérios ou fundamentos que definem </w:t>
      </w:r>
      <w:r>
        <w:rPr>
          <w:rStyle w:val="Forte"/>
          <w:rFonts w:ascii="Arial" w:hAnsi="Arial" w:cs="Arial"/>
          <w:b w:val="0"/>
        </w:rPr>
        <w:t>qual elemento</w:t>
      </w:r>
      <w:r>
        <w:rPr>
          <w:rFonts w:ascii="Arial" w:hAnsi="Arial" w:cs="Arial"/>
        </w:rPr>
        <w:t xml:space="preserve"> ou </w:t>
      </w:r>
      <w:r>
        <w:rPr>
          <w:rStyle w:val="Forte"/>
          <w:rFonts w:ascii="Arial" w:hAnsi="Arial" w:cs="Arial"/>
          <w:b w:val="0"/>
        </w:rPr>
        <w:t>fato econômico</w:t>
      </w:r>
      <w:r>
        <w:rPr>
          <w:rFonts w:ascii="Arial" w:hAnsi="Arial" w:cs="Arial"/>
        </w:rPr>
        <w:t xml:space="preserve"> será tributado no sistema fiscal. São os fatores em torno dos quais a tributação é estruturada, determinando o que será sujeito a impostos, taxas ou contribuições. As principais bases de tributação são, Renda, Patrimônio, Consumo e Comércio Exterior.</w:t>
      </w:r>
    </w:p>
    <w:p w:rsidR="003B62BD" w:rsidRDefault="008E5837">
      <w:pPr>
        <w:spacing w:line="360" w:lineRule="auto"/>
        <w:ind w:firstLine="708"/>
        <w:jc w:val="both"/>
        <w:rPr>
          <w:rFonts w:ascii="Arial" w:hAnsi="Arial" w:cs="Arial"/>
        </w:rPr>
      </w:pPr>
      <w:r>
        <w:rPr>
          <w:rFonts w:ascii="Arial" w:hAnsi="Arial" w:cs="Arial"/>
        </w:rPr>
        <w:t>A base da renda se refere ao Imposto de Renda (IR), que é um tributo federal aplicado sobre a renda, ou seja, sobre o que o brasileiro ganha em um período de tempo. A medição e a cobrança desse imposto é feita anualmente, desde 1922. Dentro desse imposto existe o IRPF (Imposto de Renda de Pessoa Física) e o IRPJ (Imposto de Renda de Pessoa Jurídica).</w:t>
      </w:r>
    </w:p>
    <w:p w:rsidR="003B62BD" w:rsidRDefault="008E5837">
      <w:pPr>
        <w:spacing w:line="360" w:lineRule="auto"/>
        <w:ind w:firstLine="708"/>
        <w:jc w:val="both"/>
        <w:rPr>
          <w:rFonts w:ascii="Arial" w:hAnsi="Arial" w:cs="Arial"/>
        </w:rPr>
      </w:pPr>
      <w:r w:rsidRPr="00D15D1B">
        <w:rPr>
          <w:rFonts w:ascii="Arial" w:hAnsi="Arial" w:cs="Arial"/>
        </w:rPr>
        <w:t xml:space="preserve">Carrazza apud Paulsen (2014, p. 120), “[...] renda </w:t>
      </w:r>
      <w:r>
        <w:rPr>
          <w:rFonts w:ascii="Arial" w:hAnsi="Arial" w:cs="Arial"/>
        </w:rPr>
        <w:t xml:space="preserve">é disponibilidade de riqueza nova, havida em dois momentos distintos. </w:t>
      </w:r>
      <w:r w:rsidR="00967FEE">
        <w:rPr>
          <w:rFonts w:ascii="Arial" w:hAnsi="Arial" w:cs="Arial"/>
        </w:rPr>
        <w:t>[</w:t>
      </w:r>
      <w:r>
        <w:rPr>
          <w:rFonts w:ascii="Arial" w:hAnsi="Arial" w:cs="Arial"/>
        </w:rPr>
        <w:t>...</w:t>
      </w:r>
      <w:r w:rsidR="00967FEE">
        <w:rPr>
          <w:rFonts w:ascii="Arial" w:hAnsi="Arial" w:cs="Arial"/>
        </w:rPr>
        <w:t xml:space="preserve">] </w:t>
      </w:r>
      <w:r>
        <w:rPr>
          <w:rFonts w:ascii="Arial" w:hAnsi="Arial" w:cs="Arial"/>
        </w:rPr>
        <w:t>é o acréscimo patrimonial experimentado pelo contribuinte, ao longo de um determinado período de tempo.”</w:t>
      </w:r>
    </w:p>
    <w:p w:rsidR="003B62BD" w:rsidRDefault="008E5837">
      <w:pPr>
        <w:spacing w:line="360" w:lineRule="auto"/>
        <w:ind w:firstLine="708"/>
        <w:jc w:val="both"/>
        <w:rPr>
          <w:rFonts w:ascii="Arial" w:hAnsi="Arial" w:cs="Arial"/>
        </w:rPr>
      </w:pPr>
      <w:r>
        <w:rPr>
          <w:rFonts w:ascii="Arial" w:hAnsi="Arial" w:cs="Arial"/>
        </w:rPr>
        <w:t>Já a base patrimônio referente aos patrimônios dos brasileiros, veículos automotores, propriedade predial e territorial urbana e propriedade territorial rural. Para cada um desses patrimônios existe um Imposto separado, por exemplo, para veículos automotores existe o IPVA que “Trata-se de um imposto real, que considera isoladamente a riqueza correspondente à propriedade do veículo, sem qualquer subjetivação.” (</w:t>
      </w:r>
      <w:r w:rsidR="00D15D1B">
        <w:rPr>
          <w:rFonts w:ascii="Arial" w:hAnsi="Arial" w:cs="Arial"/>
        </w:rPr>
        <w:t xml:space="preserve">PAULSEN, </w:t>
      </w:r>
      <w:r>
        <w:rPr>
          <w:rFonts w:ascii="Arial" w:hAnsi="Arial" w:cs="Arial"/>
        </w:rPr>
        <w:t>2014).</w:t>
      </w:r>
    </w:p>
    <w:p w:rsidR="003B62BD" w:rsidRDefault="008E5837">
      <w:pPr>
        <w:spacing w:line="360" w:lineRule="auto"/>
        <w:ind w:firstLine="708"/>
        <w:jc w:val="both"/>
        <w:rPr>
          <w:rFonts w:ascii="Arial" w:hAnsi="Arial" w:cs="Arial"/>
        </w:rPr>
      </w:pPr>
      <w:r>
        <w:rPr>
          <w:rFonts w:ascii="Arial" w:hAnsi="Arial" w:cs="Arial"/>
        </w:rPr>
        <w:t>Quando referente a propriedade predial e territorial urbana temos o IPTU, imposto de competência Municipal, que visa tributar propriedades prediais nas áreas urbanas.</w:t>
      </w:r>
    </w:p>
    <w:p w:rsidR="003B62BD" w:rsidRPr="00D15D1B" w:rsidRDefault="008E5837" w:rsidP="00D15D1B">
      <w:pPr>
        <w:ind w:left="2268"/>
        <w:jc w:val="both"/>
        <w:rPr>
          <w:rFonts w:ascii="Arial" w:hAnsi="Arial" w:cs="Arial"/>
          <w:sz w:val="20"/>
          <w:szCs w:val="20"/>
        </w:rPr>
      </w:pPr>
      <w:r w:rsidRPr="00D15D1B">
        <w:rPr>
          <w:rFonts w:ascii="Arial" w:hAnsi="Arial" w:cs="Arial"/>
          <w:sz w:val="20"/>
          <w:szCs w:val="20"/>
        </w:rPr>
        <w:t xml:space="preserve">O IPTU é considerado um imposto real, porquanto considera a propriedade de um imóvel isoladamente e não riquezas que dimensionem a possibilidade atual de o contribuinte pagar tributo. Mesmo assim, a Constituição </w:t>
      </w:r>
      <w:r w:rsidRPr="00D15D1B">
        <w:rPr>
          <w:rFonts w:ascii="Arial" w:hAnsi="Arial" w:cs="Arial"/>
          <w:sz w:val="20"/>
          <w:szCs w:val="20"/>
        </w:rPr>
        <w:lastRenderedPageBreak/>
        <w:t>expressamente autoriza sua progressividade tanto por razões meramente arrecadatórias ou fiscais como para fins extrafiscais. (</w:t>
      </w:r>
      <w:r w:rsidR="00D15D1B" w:rsidRPr="00D15D1B">
        <w:rPr>
          <w:rFonts w:ascii="Arial" w:hAnsi="Arial" w:cs="Arial"/>
          <w:sz w:val="20"/>
          <w:szCs w:val="20"/>
        </w:rPr>
        <w:t>PAULSEN</w:t>
      </w:r>
      <w:r w:rsidRPr="00D15D1B">
        <w:rPr>
          <w:rFonts w:ascii="Arial" w:hAnsi="Arial" w:cs="Arial"/>
          <w:sz w:val="20"/>
          <w:szCs w:val="20"/>
        </w:rPr>
        <w:t>, 2014)</w:t>
      </w:r>
    </w:p>
    <w:p w:rsidR="003B62BD" w:rsidRDefault="003B62BD">
      <w:pPr>
        <w:spacing w:line="360" w:lineRule="auto"/>
        <w:ind w:firstLine="708"/>
        <w:jc w:val="both"/>
        <w:rPr>
          <w:rFonts w:ascii="Arial" w:hAnsi="Arial" w:cs="Arial"/>
        </w:rPr>
      </w:pPr>
    </w:p>
    <w:p w:rsidR="003B62BD" w:rsidRDefault="008E5837">
      <w:pPr>
        <w:spacing w:line="360" w:lineRule="auto"/>
        <w:ind w:firstLine="708"/>
        <w:jc w:val="both"/>
        <w:rPr>
          <w:rFonts w:ascii="Arial" w:hAnsi="Arial" w:cs="Arial"/>
        </w:rPr>
      </w:pPr>
      <w:r>
        <w:rPr>
          <w:rFonts w:ascii="Arial" w:hAnsi="Arial" w:cs="Arial"/>
        </w:rPr>
        <w:t>Referente a propriedade territorial rural, existe o ITR. Que visa tributar propriedades localizadas fora de zonas urbanas, é um tributo cobrado anualmente.</w:t>
      </w:r>
    </w:p>
    <w:p w:rsidR="003B62BD" w:rsidRDefault="008E5837">
      <w:pPr>
        <w:spacing w:line="360" w:lineRule="auto"/>
        <w:ind w:firstLine="708"/>
        <w:jc w:val="both"/>
        <w:rPr>
          <w:rFonts w:ascii="Arial" w:hAnsi="Arial" w:cs="Arial"/>
        </w:rPr>
      </w:pPr>
      <w:r>
        <w:rPr>
          <w:rFonts w:ascii="Arial" w:hAnsi="Arial" w:cs="Arial"/>
        </w:rPr>
        <w:t xml:space="preserve">De acordo com a lei n° 9.393/1996, que regula </w:t>
      </w:r>
      <w:r>
        <w:rPr>
          <w:rFonts w:ascii="Arial" w:hAnsi="Arial" w:cs="Arial"/>
          <w:color w:val="000000"/>
          <w:shd w:val="clear" w:color="auto" w:fill="FFFFFF"/>
        </w:rPr>
        <w:t xml:space="preserve">o Imposto sobre a Propriedade Territorial Rural. </w:t>
      </w:r>
    </w:p>
    <w:p w:rsidR="003B62BD" w:rsidRDefault="008E5837" w:rsidP="00D15D1B">
      <w:pPr>
        <w:pStyle w:val="NormalWeb"/>
        <w:spacing w:before="100" w:after="100"/>
        <w:ind w:left="2268"/>
        <w:jc w:val="both"/>
        <w:rPr>
          <w:rFonts w:ascii="Arial" w:hAnsi="Arial" w:cs="Arial"/>
          <w:color w:val="FF0000"/>
          <w:sz w:val="20"/>
          <w:szCs w:val="20"/>
        </w:rPr>
      </w:pPr>
      <w:r w:rsidRPr="00D15D1B">
        <w:rPr>
          <w:rFonts w:ascii="Arial" w:hAnsi="Arial" w:cs="Arial"/>
          <w:sz w:val="20"/>
          <w:szCs w:val="20"/>
        </w:rPr>
        <w:t>Art. 1º O Imposto sobre a Propriedade Territorial Rural - ITR, de apuração anual, tem como fato gerador a propriedade, o domínio útil ou a posse de imóvel por natureza, localizado fora da zona urbana do município, em 1º de janeiro de cada ano.</w:t>
      </w:r>
      <w:bookmarkStart w:id="1" w:name="art1§1"/>
      <w:bookmarkEnd w:id="1"/>
      <w:r w:rsidRPr="00D15D1B">
        <w:rPr>
          <w:rFonts w:ascii="Arial" w:hAnsi="Arial" w:cs="Arial"/>
          <w:sz w:val="20"/>
          <w:szCs w:val="20"/>
        </w:rPr>
        <w:t xml:space="preserve"> § 1º O ITR incide inclusive sobre o imóvel declarado de interesse social para fins de reforma agrária, enquanto não transferida a propriedade, exceto se houver imissão prévia na posse.</w:t>
      </w:r>
      <w:bookmarkStart w:id="2" w:name="art1§2"/>
      <w:bookmarkEnd w:id="2"/>
      <w:r w:rsidRPr="00D15D1B">
        <w:rPr>
          <w:rFonts w:ascii="Arial" w:hAnsi="Arial" w:cs="Arial"/>
          <w:sz w:val="20"/>
          <w:szCs w:val="20"/>
        </w:rPr>
        <w:t xml:space="preserve"> § 2º Para os efeitos desta Lei, considera-se imóvel rural a área contínua, formada de uma ou mais parcelas de terras, localizada na zona rural do município.</w:t>
      </w:r>
      <w:bookmarkStart w:id="3" w:name="art1§3"/>
      <w:bookmarkEnd w:id="3"/>
      <w:r w:rsidRPr="00D15D1B">
        <w:rPr>
          <w:rFonts w:ascii="Arial" w:hAnsi="Arial" w:cs="Arial"/>
          <w:sz w:val="20"/>
          <w:szCs w:val="20"/>
        </w:rPr>
        <w:t xml:space="preserve"> § 3º O imóvel que pertencer a mais de um município deverá ser enquadrado no município onde fique a sede do imóvel e, se esta não existir, será enquadrado no município onde se localize a maior parte do imóvel. (Brasil, 1996, Art. 1º, §§ 1º-3º).</w:t>
      </w:r>
    </w:p>
    <w:p w:rsidR="003B62BD" w:rsidRDefault="008E5837">
      <w:pPr>
        <w:suppressAutoHyphens w:val="0"/>
        <w:spacing w:before="100" w:beforeAutospacing="1" w:line="360" w:lineRule="auto"/>
        <w:ind w:firstLine="525"/>
        <w:jc w:val="both"/>
        <w:rPr>
          <w:rFonts w:ascii="Arial" w:eastAsia="Times New Roman" w:hAnsi="Arial" w:cs="Arial"/>
          <w:color w:val="000000"/>
        </w:rPr>
      </w:pPr>
      <w:r>
        <w:rPr>
          <w:rFonts w:ascii="Arial" w:eastAsia="Times New Roman" w:hAnsi="Arial" w:cs="Arial"/>
          <w:color w:val="000000"/>
        </w:rPr>
        <w:t>Indo para a base de Consumo, temos os seguintes impostos, ICMS, IPI e ISS. A tributação sobre consumo refere-se a compra e venda de bens e serviços, tendo seu fato gerador no momento da troca de bens e serviços.</w:t>
      </w:r>
    </w:p>
    <w:p w:rsidR="003B62BD" w:rsidRDefault="008E5837">
      <w:pPr>
        <w:suppressAutoHyphens w:val="0"/>
        <w:spacing w:line="360" w:lineRule="auto"/>
        <w:ind w:firstLine="525"/>
        <w:jc w:val="both"/>
        <w:rPr>
          <w:rFonts w:ascii="Arial" w:hAnsi="Arial" w:cs="Arial"/>
        </w:rPr>
      </w:pPr>
      <w:r>
        <w:rPr>
          <w:rFonts w:ascii="Arial" w:eastAsia="Times New Roman" w:hAnsi="Arial" w:cs="Arial"/>
        </w:rPr>
        <w:t>O</w:t>
      </w:r>
      <w:r>
        <w:rPr>
          <w:rFonts w:ascii="Arial" w:hAnsi="Arial" w:cs="Arial"/>
          <w:shd w:val="clear" w:color="auto" w:fill="FFFFFF"/>
        </w:rPr>
        <w:t> </w:t>
      </w:r>
      <w:r>
        <w:rPr>
          <w:rFonts w:ascii="Arial" w:hAnsi="Arial" w:cs="Arial"/>
          <w:iCs/>
          <w:shd w:val="clear" w:color="auto" w:fill="FFFFFF"/>
        </w:rPr>
        <w:t>Imposto sobre Circulação de Mercadorias</w:t>
      </w:r>
      <w:r>
        <w:rPr>
          <w:rFonts w:ascii="Arial" w:hAnsi="Arial" w:cs="Arial"/>
          <w:shd w:val="clear" w:color="auto" w:fill="FFFFFF"/>
        </w:rPr>
        <w:t> e </w:t>
      </w:r>
      <w:r>
        <w:rPr>
          <w:rFonts w:ascii="Arial" w:hAnsi="Arial" w:cs="Arial"/>
          <w:iCs/>
          <w:shd w:val="clear" w:color="auto" w:fill="FFFFFF"/>
        </w:rPr>
        <w:t>Serviços (ICMS</w:t>
      </w:r>
      <w:r>
        <w:rPr>
          <w:rFonts w:ascii="Arial" w:hAnsi="Arial" w:cs="Arial"/>
          <w:iCs/>
          <w:color w:val="1F1F1F"/>
          <w:shd w:val="clear" w:color="auto" w:fill="FFFFFF"/>
        </w:rPr>
        <w:t xml:space="preserve">), segundo a lei complementar n° 87/1996 </w:t>
      </w:r>
      <w:bookmarkStart w:id="4" w:name="art1"/>
      <w:r>
        <w:rPr>
          <w:rFonts w:ascii="Arial" w:hAnsi="Arial" w:cs="Arial"/>
          <w:color w:val="000000"/>
        </w:rPr>
        <w:t>Art. 1º</w:t>
      </w:r>
      <w:bookmarkEnd w:id="4"/>
      <w:r>
        <w:rPr>
          <w:rFonts w:ascii="Arial" w:hAnsi="Arial" w:cs="Arial"/>
          <w:color w:val="000000"/>
        </w:rPr>
        <w:t> Compete aos Estados e ao Distrito Federal instituir o imposto sobre operações relativas à circulação de mercadorias e sobre prestações de serviços de transporte interestadual e intermunicipal e de comunicação, ainda que as operações e as prestações se iniciem no exterior.</w:t>
      </w:r>
      <w:r>
        <w:rPr>
          <w:rFonts w:ascii="Arial" w:hAnsi="Arial" w:cs="Arial"/>
          <w:iCs/>
          <w:color w:val="1F1F1F"/>
          <w:shd w:val="clear" w:color="auto" w:fill="FFFFFF"/>
        </w:rPr>
        <w:t xml:space="preserve"> </w:t>
      </w:r>
    </w:p>
    <w:p w:rsidR="003B62BD" w:rsidRPr="00D15D1B" w:rsidRDefault="008E5837" w:rsidP="00D15D1B">
      <w:pPr>
        <w:suppressAutoHyphens w:val="0"/>
        <w:spacing w:before="100" w:beforeAutospacing="1" w:after="100" w:afterAutospacing="1"/>
        <w:ind w:left="2268"/>
        <w:jc w:val="both"/>
        <w:rPr>
          <w:rFonts w:ascii="Arial" w:hAnsi="Arial" w:cs="Arial"/>
          <w:sz w:val="20"/>
          <w:szCs w:val="20"/>
        </w:rPr>
      </w:pPr>
      <w:r w:rsidRPr="00D15D1B">
        <w:rPr>
          <w:rFonts w:ascii="Arial" w:hAnsi="Arial" w:cs="Arial"/>
          <w:sz w:val="20"/>
          <w:szCs w:val="20"/>
        </w:rPr>
        <w:t>Cabe-nos ter em conta, em primeiro lugar, que temos diversas bases econômicas sob o mesmo título e, por vezes, com fundamento constitucional próprio: • operações de circulação de mercadorias; • operações mistas de circulação de mercadorias e prestações de serviços não compreendidos na competência tributária dos Municípios; • prestações de serviços de transporte interestadual e intermunicipal; • prestações de serviços de comunicação; • importação de bens e mercadorias; • importação de serviços. (</w:t>
      </w:r>
      <w:r w:rsidR="00D15D1B" w:rsidRPr="00D15D1B">
        <w:rPr>
          <w:rFonts w:ascii="Arial" w:hAnsi="Arial" w:cs="Arial"/>
          <w:sz w:val="20"/>
          <w:szCs w:val="20"/>
        </w:rPr>
        <w:t>PAULSEN</w:t>
      </w:r>
      <w:r w:rsidRPr="00D15D1B">
        <w:rPr>
          <w:rFonts w:ascii="Arial" w:hAnsi="Arial" w:cs="Arial"/>
          <w:sz w:val="20"/>
          <w:szCs w:val="20"/>
        </w:rPr>
        <w:t>, 2014)</w:t>
      </w:r>
    </w:p>
    <w:p w:rsidR="003B62BD" w:rsidRDefault="008E5837">
      <w:pPr>
        <w:spacing w:line="360" w:lineRule="auto"/>
        <w:ind w:firstLine="708"/>
        <w:jc w:val="both"/>
        <w:rPr>
          <w:rStyle w:val="Forte"/>
          <w:rFonts w:ascii="Arial" w:hAnsi="Arial" w:cs="Arial"/>
          <w:b w:val="0"/>
        </w:rPr>
      </w:pPr>
      <w:r>
        <w:rPr>
          <w:rStyle w:val="Forte"/>
          <w:rFonts w:ascii="Arial" w:hAnsi="Arial" w:cs="Arial"/>
          <w:b w:val="0"/>
        </w:rPr>
        <w:t>No que se refere ao Comércio Exterior, os impostos podem incidir sobre as importações e as exportações de bens e serviços, sendo assim tempos o Imposto de Importação (II) e o Imposto de Exportação (IE). Esses tributos tem como objetivo regular o fluxo comercial e proteger a economia nacional.</w:t>
      </w:r>
    </w:p>
    <w:p w:rsidR="003B62BD" w:rsidRDefault="008E5837">
      <w:pPr>
        <w:spacing w:line="360" w:lineRule="auto"/>
        <w:ind w:firstLine="708"/>
        <w:jc w:val="both"/>
        <w:rPr>
          <w:rFonts w:ascii="Arial" w:hAnsi="Arial" w:cs="Arial"/>
          <w:shd w:val="clear" w:color="auto" w:fill="FFFFFF"/>
        </w:rPr>
      </w:pPr>
      <w:r>
        <w:rPr>
          <w:rStyle w:val="Forte"/>
          <w:rFonts w:ascii="Arial" w:hAnsi="Arial" w:cs="Arial"/>
          <w:b w:val="0"/>
        </w:rPr>
        <w:t xml:space="preserve">Segundo a lei n° 37/1966 </w:t>
      </w:r>
      <w:r>
        <w:rPr>
          <w:rFonts w:ascii="Arial" w:hAnsi="Arial" w:cs="Arial"/>
          <w:shd w:val="clear" w:color="auto" w:fill="FFFFFF"/>
        </w:rPr>
        <w:t>Art. 1º</w:t>
      </w:r>
      <w:r>
        <w:rPr>
          <w:rFonts w:ascii="Segoe UI" w:hAnsi="Segoe UI" w:cs="Segoe UI"/>
          <w:shd w:val="clear" w:color="auto" w:fill="FFFFFF"/>
        </w:rPr>
        <w:t> </w:t>
      </w:r>
      <w:r>
        <w:rPr>
          <w:rFonts w:ascii="Arial" w:hAnsi="Arial" w:cs="Arial"/>
          <w:shd w:val="clear" w:color="auto" w:fill="FFFFFF"/>
        </w:rPr>
        <w:t>O imposto de importação incide sobre mercadoria estrangeira e tem como fato gerador sua entrada no território nacional.</w:t>
      </w:r>
    </w:p>
    <w:p w:rsidR="003B62BD" w:rsidRDefault="008E5837">
      <w:pPr>
        <w:spacing w:line="360" w:lineRule="auto"/>
        <w:ind w:firstLine="708"/>
        <w:jc w:val="both"/>
        <w:rPr>
          <w:rFonts w:ascii="Arial" w:hAnsi="Arial" w:cs="Arial"/>
          <w:color w:val="000000"/>
        </w:rPr>
      </w:pPr>
      <w:r>
        <w:rPr>
          <w:rFonts w:ascii="Arial" w:hAnsi="Arial" w:cs="Arial"/>
          <w:shd w:val="clear" w:color="auto" w:fill="FFFFFF"/>
        </w:rPr>
        <w:lastRenderedPageBreak/>
        <w:t xml:space="preserve">E a lei n° 1.578/1977 </w:t>
      </w:r>
      <w:r>
        <w:rPr>
          <w:rFonts w:ascii="Arial" w:hAnsi="Arial" w:cs="Arial"/>
          <w:color w:val="000000"/>
        </w:rPr>
        <w:t>Art. 1º O imposto sobre a exportação, para o estrangeiro, de produto nacional ou nacionalizado tem como, fato gerador a saída deste do território nacional.</w:t>
      </w:r>
    </w:p>
    <w:p w:rsidR="003B62BD" w:rsidRDefault="008E5837">
      <w:pPr>
        <w:spacing w:line="360" w:lineRule="auto"/>
        <w:ind w:firstLine="708"/>
        <w:jc w:val="both"/>
        <w:rPr>
          <w:rFonts w:ascii="Arial" w:hAnsi="Arial" w:cs="Arial"/>
        </w:rPr>
      </w:pPr>
      <w:r>
        <w:rPr>
          <w:rFonts w:ascii="Arial" w:hAnsi="Arial" w:cs="Arial"/>
        </w:rPr>
        <w:t>Entre os principais tópicos discutidos nas propostas de reforma estão a unificação dos tributos sobre o consumo e a revisão das cobranças sobre a folha de pagamento, renda e patrimônio. A ideia central é consolidar os diversos impostos em um único tributo sobre o valor agregado, o que facilitaria a compreensão por parte dos contribuintes e aumentaria a transparência no sistema fiscal, tornando a arrecadação mais eficiente.</w:t>
      </w:r>
    </w:p>
    <w:p w:rsidR="003B62BD" w:rsidRDefault="003B62BD">
      <w:pPr>
        <w:spacing w:line="360" w:lineRule="auto"/>
        <w:ind w:firstLine="708"/>
        <w:jc w:val="both"/>
        <w:rPr>
          <w:rFonts w:ascii="Arial" w:hAnsi="Arial" w:cs="Arial"/>
        </w:rPr>
      </w:pPr>
    </w:p>
    <w:p w:rsidR="003B62BD" w:rsidRPr="00D15D1B" w:rsidRDefault="008E5837">
      <w:pPr>
        <w:spacing w:line="360" w:lineRule="auto"/>
        <w:jc w:val="both"/>
        <w:rPr>
          <w:rFonts w:ascii="Arial" w:hAnsi="Arial" w:cs="Arial"/>
        </w:rPr>
      </w:pPr>
      <w:r w:rsidRPr="00D15D1B">
        <w:rPr>
          <w:rFonts w:ascii="Arial" w:hAnsi="Arial" w:cs="Arial"/>
        </w:rPr>
        <w:t>3.2 Evolução Do Sistema Tributário</w:t>
      </w:r>
    </w:p>
    <w:p w:rsidR="003B62BD" w:rsidRDefault="008E5837">
      <w:pPr>
        <w:spacing w:line="360" w:lineRule="auto"/>
        <w:ind w:firstLine="708"/>
        <w:jc w:val="both"/>
        <w:rPr>
          <w:rFonts w:ascii="Arial" w:hAnsi="Arial" w:cs="Arial"/>
        </w:rPr>
      </w:pPr>
      <w:r>
        <w:rPr>
          <w:rFonts w:ascii="Arial" w:hAnsi="Arial" w:cs="Arial"/>
        </w:rPr>
        <w:t xml:space="preserve">A partir da década de 50, o governo brasileiro comandou um esforço de desenvolvimento industrial, criando o Banco Nacional de Desenvolvimento Econômico (BNDE) em 1952 e buscando atrair capital estrangeiro para o país, através de favores financeiros e cambiais e pela transformação do imposto de importação, àquela altura com participação desprezível no financiamento dos gastos públicos, em instrumento de proteção à indústria doméstica. Em 1959, com a criação da Superintendência de Desenvolvimento do Nordeste (Sudene) tem início o apoio sistemático ao desenvolvimento regional.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O apoio à industrialização e ao desenvolvimento regional gerou um crescimento das despesas que não pode ser acompanhado pelo das receitas. Assim, a despesa do Tesouro Nacional, ao redor de 8% do PIB no final da década de 40, elevou-se para 11% a partir de 1957 e, no início dos anos 60, atingiu a marca dos 13% do PIB.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Nessa época, o sistema tributário mostrava insuficiência até mesmo para manter a carga tributária que vinha conseguindo gerar na década de 50. Como as despesas continuaram a crescer aceleradamente, o déficit do Tesouro ultrapassou, em 1962 e 1963, a marca dos 4% do PIB. Não existindo uma estrutura institucional que possibilitasse o seu financiamento por meio de endividamento público, o déficit foi coberto quase que totalmente através de emissões. A taxa de inflação anual, que era da ordem de 12% em 1950 e já atingia 29% em 1960, elevou-se rapidamente para 37 e 52% nos anos seguintes e saltou para 74% em 1963.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lastRenderedPageBreak/>
        <w:t xml:space="preserve">Para fazer frente à crise econômica e política que o país atravessava, formava-se uma consciência da necessidade de reorganização de quase todos os setores da vida nacional, de "reformas de base". Neste contexto, a reforma tributária era vista como prioritária não só para resolver o problema orçamentário como para prover os recursos necessários às demais reformas.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Reconhecia-se que o passo mais importante seria a reestruturação do aparelho arrecadador. O próprio Ministro da Fazenda na época estimava que seria possível, apenas com a melhoria da administração fazendária, sem qualquer mudança nos tributos, arrecadar adicionalmente, no mínimo, valor equivalente a 2/3 da receita estimada para 1963. Nessas circunstâncias, a forma encontrada para se conseguir o aumento da receita - constantes alterações na legislação visando expandir a base tributária ou elevar a carga de alguns impostos - vinha encontrando crescentes reações por parte de segmentos influentes da sociedade.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O reaparelhamento do sistema arrecadador era, contudo, considerado insuficiente para resolver a questão tributária, posto que a principal crítica à tributação era a excessiva carga incidente sobre o setor produtivo, tanto devido à cumulatividade do imposto de consumo como ao progressivo aumento do imposto de renda de pessoas jurídicas. As alterações introduzidas em 1962 na legislação do imposto de renda de pessoas físicas, que visaram, principalmente, ampliar a tributação sobre os rendimentos de capital, bem como criar formas de controle de sua evasão - por exemplo, exigindo a declaração de bens -, certamente aumentaram a indignação das elites econômicas contra o sistema tributário vigente.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No final de 1963, foi criada a Comissão de Reforma do Ministério da Fazenda com a tarefa de reorganizar e modernizar a administração fiscal federal. Previa-se que os fatos e informações analisados levariam a uma expansão das tarefas e até à revisão global do sistema tributário, o que de fato ocorreu.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Um novo sistema tributário foi paulatinamente implantado entre 1964 e 1966, concedendo-se prioridade para as medidas que, de um lado, contribuíssem de imediato para a reabilitação das finanças federais e, de outro, atendessem de forma mais urgente os reclamos de alívio tributário dos setores empresariais, que constituíam a base política de sustentação do regime: a administração fazendária federal foi reorganizada; o IR sofreu revisões que resultaram em vigoroso crescimento de sua arrecadação; e o imposto de consumo foi reformulado dando origem ao </w:t>
      </w:r>
      <w:r>
        <w:rPr>
          <w:rFonts w:ascii="Arial" w:hAnsi="Arial" w:cs="Arial"/>
        </w:rPr>
        <w:lastRenderedPageBreak/>
        <w:t xml:space="preserve">Imposto sobre Produtos Industrializados (IPI), com resultado semelhante. A Emenda Constitucional nº 18/65 que, com algumas alterações, incorporou-se ao texto da Constituição de 30 de janeiro de 1967 e o Código Tributário (Lei nº 5.172, de 25 de outubro de 1966) são os documentos legais que marcam o fim dos trabalhos desta reforma.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Além de bem-sucedida quanto ao objetivo de reabilitar rapidamente as finanças federais - a receita do Tesouro Nacional, que atingira o mínimo de 8,6% do PIB em 1962, recuperou-se e, em 1965, já chegava aos 12% -, a reforma da década de 60 teve os méritos de ousar eliminar os impostos cumulativos, adotando, em substituição, o imposto sobre o valor adicionado - hoje de uso generalizado na Europa e na América Latina, mas, na época, em vigor apenas na França -, e de, pela primeira vez no Brasil, conceber um sistema tributário que era, de fato, um sistema - e não apenas um conjunto de fontes de arrecadação - com objetivos econômicos, ou, mais precisamente, que era instrumento da estratégia de crescimento acelerado traçada pelos detentores do poder.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Assim, o objetivo fundamental do sistema tributário foi elevar o nível de esforço fiscal da sociedade de modo que não só se alcançasse o equilíbrio orçamentário como se dispusesse de recursos que pudessem ser dispensados, através de incentivos fiscais à acumulação de capital, para impulsionar o processo de crescimento econômico. Ao privilegiar o estímulo ao crescimento acelerado e à acumulação privada - e, portanto, os detentores da riqueza - a reforma praticamente desprezou o objetivo de equidade.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De acordo com a estratégia traçada, a orientação e o controle do processo de crescimento caberiam ao governo federal, o que exigia a centralização das decisões econômicas. Quanto ao setor privado, suas decisões podiam ser moldadas por meio dos incentivos fiscais. Em relação ao setor público, era necessário o comando central dos impostos que fossem primordialmente instrumentos da política econômica - como os impostos sobre o comércio exterior e sobre operações financeiras - bem como da forma de utilização dos recursos tributários. A reforma previa, no entanto, que os estados e municípios contassem com recursos suficientes para desempenhar suas funções sem atrapalhar o processo de crescimento, principalmente através da arrecadação do ICM - imposto sobre operações relativas à circulação de mercadorias </w:t>
      </w:r>
      <w:r>
        <w:rPr>
          <w:rFonts w:ascii="Arial" w:hAnsi="Arial" w:cs="Arial"/>
        </w:rPr>
        <w:lastRenderedPageBreak/>
        <w:t xml:space="preserve">- e de um sistema de transferências intergovernamentais, que garantia receita para as unidades cuja capacidade tributária fosse precária.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Para assegurar a não-interferência das unidades subnacionais na definição e controle do processo de crescimento, o seu grau de autonomia fiscal precisava ser severamente restringido. Assim, o poder concedido aos estados para legislar em matéria relativa ao ICM foi limitado, de modo que o imposto gerasse arrecadação sem que pudesse ser usado como instrumento de política; e os recursos transferidos foram, em parte, vinculados a gastos compatíveis com os objetivos fixados pelo governo central. </w:t>
      </w:r>
      <w:r w:rsidR="00D15D1B">
        <w:rPr>
          <w:rFonts w:ascii="Arial" w:hAnsi="Arial" w:cs="Arial"/>
        </w:rPr>
        <w:t xml:space="preserve">(VARSANO, </w:t>
      </w:r>
      <w:r>
        <w:rPr>
          <w:rFonts w:ascii="Arial" w:hAnsi="Arial" w:cs="Arial"/>
        </w:rPr>
        <w:t>1996)</w:t>
      </w:r>
    </w:p>
    <w:p w:rsidR="003B62BD" w:rsidRDefault="008E5837">
      <w:pPr>
        <w:spacing w:line="360" w:lineRule="auto"/>
        <w:ind w:firstLine="708"/>
        <w:jc w:val="both"/>
        <w:rPr>
          <w:rFonts w:ascii="Arial" w:hAnsi="Arial" w:cs="Arial"/>
        </w:rPr>
      </w:pPr>
      <w:r>
        <w:rPr>
          <w:rFonts w:ascii="Arial" w:hAnsi="Arial" w:cs="Arial"/>
        </w:rPr>
        <w:t xml:space="preserve">Após completada a reforma, os estados sofreram limitações adicionais ao seu poder de tributar e, já em 1968, no auge do autoritarismo, também as transferências foram restringidas. O Ato Complementar nº 40/68 reduziu, de 10 para 5%, os percentuais do produto da arrecadação do IR e do IPI destinados aos Fundos de Participação dos Estados e dos Municípios (FPE e FPM), respectivamente. Em contrapartida, criou o Fundo Especial (FE), cuja distribuição e utilização dos recursos eram inteiramente decididas pelo Poder Central, destinando a ele 2% do produto da arrecadação daqueles tributos. O Ato também condicionou a entrega das cotas dos fundos a diversos fatores, inclusive à forma de utilização dos recursos. A autonomia fiscal dos estados e municípios foi reduzida ao seu nível mínimo, aí permanecendo até 1975.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A despeito da intensa concessão de incentivos fiscais, a carga tributária do país conseguiu se sustentar acima de 25% do PIB até 1978, com a União arrecadando aproximadamente 3/4 do montante de recursos e dispondo, após as transferências para estados e municípios, de cerca de 2/3 dos mesmos. Contudo, desde 1970 já era evidente para o governo que a concessão dos incentivos corroía excessivamente a receita. Para reforçar suas fontes de financiamento, o governo federal criou o PIS - contribuição para o Programa de Integração Social -, que marca o ressurgimento no país da cumulatividade na tributação. Determinou também que parcela do valor dos incentivos concedidos fosse direcionada para o Programa de Integração Nacional (PIN) e o Programa de Redistribuição de Terras e de Estímulo à Agropecuária do Norte e Nordeste (Proterra), reduzindo praticamente à metade o valor dos incentivos concedidos através do Imposto de Renda de Pessoas Jurídicas. Embora relacionados pela legislação aos incentivos fiscais - um subterfúgio utilizado na época para evitar a </w:t>
      </w:r>
      <w:r>
        <w:rPr>
          <w:rFonts w:ascii="Arial" w:hAnsi="Arial" w:cs="Arial"/>
        </w:rPr>
        <w:lastRenderedPageBreak/>
        <w:t xml:space="preserve">distribuição de parcela desses recursos, através do FPE e do FPM, aos estados e municípios - os recursos do PIN e do Proterra são, de fato, receitas vinculadas.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Ao encerrar-se a fase do "milagre brasileiro", o sistema tributário já começava a mostrar os primeiros sinais de exaustão. A proliferação dos incentivos fiscais havia enfraquecido a sua capacidade de arrecadar e, a partir de 1975, o sistema praticamente deixou de ser utilizado como instrumento para novas políticas. Suas más características quanto à equidade haviam se acentuado a ponto de exigir ajustes na legislação do IR, realizados em 1974, com o intuito de mitigar a regressividade da tributação. Os estados e municípios começavam a esboçar reação ao baixo grau de autonomia, o que sustou o processo de crescente centralização das decisões a que haviam sido submetidos e gerou a Emenda Constitucional nº 5/75, que elevou os percentuais de destinação de recursos ao FPE e ao FPM a partir de 1976.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No período 1979/83, a despeito da recessão que caracterizou seus anos finais, ainda foi possível - através de frequentes alterações na legislação e pela sustação da criação de novos incentivos e eliminação de alguns já existentes - manter a carga tributária oscilando entre 24,5 e 27% do PIB. É interessante observar que as iniciativas no sentido de promover a desconcentração de recursos através de medidas legais, como a mencionada Emenda Constitucional nº 5/75 e a nº 17/80, não surtiram qualquer efeito até 1983. Estas emendas elevaram progressivamente os percentuais do produto da arrecadação do IR e do IPI destinados ao FPE e ao FPM que, de 5% em 1975, atingiram 10,5% em 1982 e 1983. Nesse ano, as participações da União tanto na arrecadação como na receita tributária disponível do setor público alcançaram picos históricos. Em outras palavras, a cada ação no sentido de descentralizar os recursos corresponderam reações da União que as neutralizaram. O total das transferências tributárias da União para estados e municípios manteve-se, desde 1976 até 1983, ano a ano, na faixa de 8,5 a 9,5% da sua receita tributária, a despeito do aumento dos percentuais de destinação de recursos aos fundos. </w:t>
      </w:r>
      <w:r w:rsidR="00D15D1B">
        <w:rPr>
          <w:rFonts w:ascii="Arial" w:hAnsi="Arial" w:cs="Arial"/>
        </w:rPr>
        <w:t>(VARSANO</w:t>
      </w:r>
      <w:r w:rsidR="00560E0A">
        <w:rPr>
          <w:rFonts w:ascii="Arial" w:hAnsi="Arial" w:cs="Arial"/>
        </w:rPr>
        <w:t xml:space="preserve">, </w:t>
      </w:r>
      <w:r>
        <w:rPr>
          <w:rFonts w:ascii="Arial" w:hAnsi="Arial" w:cs="Arial"/>
        </w:rPr>
        <w:t>1996)</w:t>
      </w:r>
    </w:p>
    <w:p w:rsidR="003B62BD" w:rsidRDefault="008E5837">
      <w:pPr>
        <w:spacing w:line="360" w:lineRule="auto"/>
        <w:ind w:firstLine="708"/>
        <w:jc w:val="both"/>
        <w:rPr>
          <w:rFonts w:ascii="Arial" w:hAnsi="Arial" w:cs="Arial"/>
        </w:rPr>
      </w:pPr>
      <w:r>
        <w:rPr>
          <w:rFonts w:ascii="Arial" w:hAnsi="Arial" w:cs="Arial"/>
        </w:rPr>
        <w:t xml:space="preserve">A impressionante quantidade de alterações processadas na legislação tributária na década de 80, quase sempre - como no início da década de 60 -, com o objetivo de sustentar o nível da arrecadação que podia ser obtida por um sistema </w:t>
      </w:r>
      <w:r>
        <w:rPr>
          <w:rFonts w:ascii="Arial" w:hAnsi="Arial" w:cs="Arial"/>
        </w:rPr>
        <w:lastRenderedPageBreak/>
        <w:t xml:space="preserve">reconhecidamente deficiente, conseguiu evitar que a carga tributária se reduzisse drasticamente a partir de 1984. Entre aquele ano e 1988, ela se manteve em nível apenas ligeiramente inferior ao observado até 1983, oscilando entre 23,4 e 24,3%, com exceção de 1986, ano do Plano Cruzado, em que atingiu 26,5%.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Embora o esforço legislativo tenha comprometido a qualidade da tributação, inclusive criando mais um tributo cumulativo, o Finsocial - contribuição para o Fundo de Financiamento Social -, e transformando o IPI e o ICM em tributos pouco semelhantes ao que se concebe ser um imposto sobre o valor adicionado, a preservação de seu nível foi essencial para que, num longo período de estagnação da economia e de inflação crescente, o Estado brasileiro não atingisse condição ainda mais precária que a observada atualmente.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Também a partir de 1984 observa-se um forte processo de desconcentração dos recursos. Ele foi, em parte, consequência da Emenda Constitucional nº 23/83, que elevou os percentuais do FPE e do FPM para 12,5 e 13,5%, respectivamente, em 1984, e para 14 e 16%, de 1985 em diante, e fechou brechas legais que permitiram anteriormente à União reduzir as bases sobre as quais incidiam os percentuais destas e de outras participações dos estados e municípios na receita tributária. As transferências da União cresceram até atingir o máximo de 16% de sua receita tributária em 1988. Mas não foi apenas o aumento do montante das transferências que provocou a desconcentração. Ela resultou também da perda do poder de arrecadar da União, fenômeno que não se reproduziu no nível estadual. Assim, a participação da União no total da receita tributária disponível teve uma queda de quase 10 pontos percentuais entre 1983 e 1988, enquanto sua participação na arrecadação dos três níveis de governo caiu cerca de cinco pontos percentuais no mesmo período.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 xml:space="preserve">Foi neste ambiente - mas sem o conhecimento dos dados referentes aos anos mais recentes, que confirmariam a forte desconcentração - que se deu início no 1º trimestre de 1987 ao processo de elaboração da nova Constituição. </w:t>
      </w:r>
      <w:r w:rsidR="00D15D1B">
        <w:rPr>
          <w:rFonts w:ascii="Arial" w:hAnsi="Arial" w:cs="Arial"/>
        </w:rPr>
        <w:t>(VARSANO</w:t>
      </w:r>
      <w:r>
        <w:rPr>
          <w:rFonts w:ascii="Arial" w:hAnsi="Arial" w:cs="Arial"/>
        </w:rPr>
        <w:t>, 1996)</w:t>
      </w:r>
    </w:p>
    <w:p w:rsidR="003B62BD" w:rsidRDefault="008E5837">
      <w:pPr>
        <w:spacing w:line="360" w:lineRule="auto"/>
        <w:ind w:firstLine="708"/>
        <w:jc w:val="both"/>
        <w:rPr>
          <w:rFonts w:ascii="Arial" w:hAnsi="Arial" w:cs="Arial"/>
        </w:rPr>
      </w:pPr>
      <w:r>
        <w:rPr>
          <w:rFonts w:ascii="Arial" w:hAnsi="Arial" w:cs="Arial"/>
        </w:rPr>
        <w:t>O sistema tributário brasileiro, conforme destaca Ricardo Varsano</w:t>
      </w:r>
      <w:r w:rsidR="001D5386">
        <w:rPr>
          <w:rFonts w:ascii="Arial" w:hAnsi="Arial" w:cs="Arial"/>
        </w:rPr>
        <w:t xml:space="preserve"> (1996)</w:t>
      </w:r>
      <w:r>
        <w:rPr>
          <w:rFonts w:ascii="Arial" w:hAnsi="Arial" w:cs="Arial"/>
        </w:rPr>
        <w:t xml:space="preserve">, resultou de um processo gradual de evolução que reflete as principais linhas das teorias econômicas, conforme observado por Hinrichs (1972). Durante o Império e os </w:t>
      </w:r>
      <w:r>
        <w:rPr>
          <w:rFonts w:ascii="Arial" w:hAnsi="Arial" w:cs="Arial"/>
        </w:rPr>
        <w:lastRenderedPageBreak/>
        <w:t>primeiros anos da República, a arrecadação tributária era predominantemente focada em impostos sobre o comércio exterior, com um papel secundário para tributos sobre imóveis e uma gama limitada de impostos sobre bens, rendimentos e serviços prestados pelo governo. No final do século XIX, foi implementado um imposto sobre consumo, que, ao longo do tempo, se transformaria no IPI, em vigor desde a década de 1960. O ICMS surgiu em 1922, a partir do imposto sobre vendas mercantis, enquanto o Imposto de Renda, formalizado em 1924, consolidou-se ao longo das décadas seguintes, culminando em sua versão atual.</w:t>
      </w:r>
    </w:p>
    <w:p w:rsidR="003B62BD" w:rsidRDefault="008E5837">
      <w:pPr>
        <w:spacing w:line="360" w:lineRule="auto"/>
        <w:ind w:firstLine="708"/>
        <w:jc w:val="both"/>
        <w:rPr>
          <w:rFonts w:ascii="Arial" w:hAnsi="Arial" w:cs="Arial"/>
        </w:rPr>
      </w:pPr>
      <w:r>
        <w:rPr>
          <w:rFonts w:ascii="Arial" w:hAnsi="Arial" w:cs="Arial"/>
        </w:rPr>
        <w:t>Essa evolução foi marcada pela lentidão, refletindo a resistência da sociedade e do próprio Estado a mudanças. Mudanças radicais no sistema tributário, que afetam diretamente os preços relativos da economia e a carga tributária, podem gerar grandes distúrbios econômicos e até a falência do Estado. A lentidão do processo, portanto, atua como uma proteção contra riscos indesejados.</w:t>
      </w:r>
    </w:p>
    <w:p w:rsidR="003B62BD" w:rsidRDefault="003B62BD">
      <w:pPr>
        <w:spacing w:line="360" w:lineRule="auto"/>
        <w:jc w:val="both"/>
        <w:rPr>
          <w:rFonts w:ascii="Arial" w:hAnsi="Arial" w:cs="Arial"/>
        </w:rPr>
      </w:pPr>
    </w:p>
    <w:p w:rsidR="003B62BD" w:rsidRDefault="008E5837">
      <w:pPr>
        <w:spacing w:line="360" w:lineRule="auto"/>
        <w:ind w:firstLine="708"/>
        <w:jc w:val="both"/>
        <w:rPr>
          <w:rFonts w:ascii="Arial" w:hAnsi="Arial" w:cs="Arial"/>
        </w:rPr>
      </w:pPr>
      <w:r>
        <w:rPr>
          <w:rFonts w:ascii="Arial" w:hAnsi="Arial" w:cs="Arial"/>
        </w:rPr>
        <w:t>A reforma tributária mais significativa no Brasil ocorreu na década de 1960. Como mencionado por Varsano</w:t>
      </w:r>
      <w:r w:rsidR="001D5386">
        <w:rPr>
          <w:rFonts w:ascii="Arial" w:hAnsi="Arial" w:cs="Arial"/>
        </w:rPr>
        <w:t xml:space="preserve"> (1996)</w:t>
      </w:r>
      <w:r>
        <w:rPr>
          <w:rFonts w:ascii="Arial" w:hAnsi="Arial" w:cs="Arial"/>
        </w:rPr>
        <w:t>, essa reforma foi necessária desde 1947, quando já era considerada urgente pelo Presidente da República da época. Ela foi facilitada pelo contexto autoritário da época e adotou uma abordagem abrangente, com a intenção de tratar todos os aspectos do sistema tributário como um "bloco". Embora tenha sido uma reforma de grande impacto, sua implementação se deu de forma gradual e sob diretrizes táticas específicas, com seu pleno efeito a partir de 1967.</w:t>
      </w:r>
    </w:p>
    <w:p w:rsidR="003B62BD" w:rsidRDefault="008E5837">
      <w:pPr>
        <w:spacing w:line="360" w:lineRule="auto"/>
        <w:ind w:firstLine="708"/>
        <w:jc w:val="both"/>
        <w:rPr>
          <w:rFonts w:ascii="Arial" w:hAnsi="Arial" w:cs="Arial"/>
        </w:rPr>
      </w:pPr>
      <w:r>
        <w:rPr>
          <w:rFonts w:ascii="Arial" w:hAnsi="Arial" w:cs="Arial"/>
        </w:rPr>
        <w:t>Embora a reforma de 1960 tenha modernizado o sistema, ela não representou uma ruptura, mas sim uma continuidade da evolução tributária. Mesmo as reformas mais profundas mantiveram elementos dos sistemas anteriores, refletindo as ideias e as condições da época de sua implementação, e o sistema continuou a evoluir para se adequar às novas necessidades.</w:t>
      </w:r>
    </w:p>
    <w:p w:rsidR="003B62BD" w:rsidRDefault="008E5837">
      <w:pPr>
        <w:spacing w:line="360" w:lineRule="auto"/>
        <w:ind w:firstLine="708"/>
        <w:jc w:val="both"/>
        <w:rPr>
          <w:rFonts w:ascii="Arial" w:hAnsi="Arial" w:cs="Arial"/>
        </w:rPr>
      </w:pPr>
      <w:r>
        <w:rPr>
          <w:rFonts w:ascii="Arial" w:hAnsi="Arial" w:cs="Arial"/>
        </w:rPr>
        <w:t>Varsano</w:t>
      </w:r>
      <w:r w:rsidR="00FA0EEC">
        <w:rPr>
          <w:rFonts w:ascii="Arial" w:hAnsi="Arial" w:cs="Arial"/>
        </w:rPr>
        <w:t xml:space="preserve"> (1996)</w:t>
      </w:r>
      <w:r>
        <w:rPr>
          <w:rFonts w:ascii="Arial" w:hAnsi="Arial" w:cs="Arial"/>
        </w:rPr>
        <w:t xml:space="preserve"> também critica as propostas de reformas tributárias radicais, que visam mudanças bruscas sem considerar a estrutura histórica do sistema tributário. Essas propostas, embora populares, não seriam viáveis e poderiam resultar em uma regressão, em vez de um avanço. A simplificação dos processos tributários não deve ser confundida com a eliminação de aspectos essenciais, como a transparência e a conexão entre os tributos e os serviços prestados pelo Estado. Em </w:t>
      </w:r>
      <w:r>
        <w:rPr>
          <w:rFonts w:ascii="Arial" w:hAnsi="Arial" w:cs="Arial"/>
        </w:rPr>
        <w:lastRenderedPageBreak/>
        <w:t>vez disso, uma reforma bem-sucedida deve buscar uma simplificação real, sem cair em excessos que ocultam os custos econômicos e sociais.</w:t>
      </w:r>
    </w:p>
    <w:p w:rsidR="003B62BD" w:rsidRDefault="008E5837">
      <w:pPr>
        <w:spacing w:line="360" w:lineRule="auto"/>
        <w:ind w:firstLine="708"/>
        <w:jc w:val="both"/>
        <w:rPr>
          <w:rFonts w:ascii="Arial" w:hAnsi="Arial" w:cs="Arial"/>
        </w:rPr>
      </w:pPr>
      <w:r>
        <w:rPr>
          <w:rFonts w:ascii="Arial" w:hAnsi="Arial" w:cs="Arial"/>
        </w:rPr>
        <w:t>A crítica à proposta do imposto único, defendida por alguns setores, reflete a preocupação com os impactos econômicos e sociais que essa mudança poderia acarretar. O sistema tributário precisa ser compreendido como um reflexo da sociedade e da economia em constante transformação, sendo necessário buscar uma reforma que respeite essa lógica evolutiva, garantindo a justiça fiscal e a eficiência do Estado. Como destaca Varsano</w:t>
      </w:r>
      <w:r w:rsidR="00FA0EEC">
        <w:rPr>
          <w:rFonts w:ascii="Arial" w:hAnsi="Arial" w:cs="Arial"/>
        </w:rPr>
        <w:t xml:space="preserve"> (1996)</w:t>
      </w:r>
      <w:r>
        <w:rPr>
          <w:rFonts w:ascii="Arial" w:hAnsi="Arial" w:cs="Arial"/>
        </w:rPr>
        <w:t>, a reforma tributária ideal deve ser um processo gradual, em vez de uma revolução que ignore as lições do passado e os desafios do presente.</w:t>
      </w:r>
    </w:p>
    <w:p w:rsidR="003B62BD" w:rsidRPr="00FA0EEC" w:rsidRDefault="003B62BD">
      <w:pPr>
        <w:spacing w:line="360" w:lineRule="auto"/>
        <w:jc w:val="both"/>
        <w:rPr>
          <w:rFonts w:ascii="Arial" w:hAnsi="Arial" w:cs="Arial"/>
        </w:rPr>
      </w:pPr>
    </w:p>
    <w:p w:rsidR="003B62BD" w:rsidRPr="00FA0EEC" w:rsidRDefault="008E5837">
      <w:pPr>
        <w:spacing w:line="360" w:lineRule="auto"/>
        <w:jc w:val="both"/>
        <w:rPr>
          <w:rFonts w:ascii="Arial" w:hAnsi="Arial" w:cs="Arial"/>
        </w:rPr>
      </w:pPr>
      <w:r w:rsidRPr="00FA0EEC">
        <w:rPr>
          <w:rFonts w:ascii="Arial" w:hAnsi="Arial" w:cs="Arial"/>
        </w:rPr>
        <w:t>3.3 Guerra Fiscal E A Reforma Tributária</w:t>
      </w:r>
    </w:p>
    <w:p w:rsidR="003B62BD" w:rsidRDefault="008E5837">
      <w:pPr>
        <w:spacing w:line="360" w:lineRule="auto"/>
        <w:ind w:firstLine="708"/>
        <w:jc w:val="both"/>
        <w:rPr>
          <w:rFonts w:ascii="Arial" w:hAnsi="Arial" w:cs="Arial"/>
        </w:rPr>
      </w:pPr>
      <w:r>
        <w:rPr>
          <w:rFonts w:ascii="Arial" w:hAnsi="Arial" w:cs="Arial"/>
        </w:rPr>
        <w:t>Basicamente, é denominada de Guerra Fiscal a disputa entre lugares diferentes para atrair empresas e investimentos. E é importante lembrar que este embate, por sua vez, pode interferir na arrecadação do ICMS (Imposto sobre Circulação de Mercadorias e Serviços), assim como de outros tributos. (IOB, 2023)</w:t>
      </w:r>
    </w:p>
    <w:p w:rsidR="003B62BD" w:rsidRDefault="008E5837">
      <w:pPr>
        <w:spacing w:line="360" w:lineRule="auto"/>
        <w:ind w:firstLine="708"/>
        <w:jc w:val="both"/>
        <w:rPr>
          <w:rFonts w:ascii="Arial" w:hAnsi="Arial" w:cs="Arial"/>
        </w:rPr>
      </w:pPr>
      <w:r>
        <w:rPr>
          <w:rFonts w:ascii="Arial" w:hAnsi="Arial" w:cs="Arial"/>
        </w:rPr>
        <w:t>Ao período pós-guerra, a partir da década de 50, aconteceu um importante crescimento industrial no Brasil, inclusive, com a chegada de multinacionais automobilísticas, siderúrgicas e metalúrgicas. No entanto, houve uma concentração destas indústrias na região Sudeste, fato que, no decorrer do tempo, fez com que estados e municípios de outras regiões mais carentes de investimentos e até de infraestrutura passassem a buscar medidas, às vezes, inconstitucionais, para atrair empresas. Isso na intenção de gerar empregos e arrecadações maiores. (IOB, 2023)</w:t>
      </w:r>
    </w:p>
    <w:p w:rsidR="003B62BD" w:rsidRDefault="008E5837">
      <w:pPr>
        <w:spacing w:line="360" w:lineRule="auto"/>
        <w:ind w:firstLine="708"/>
        <w:jc w:val="both"/>
        <w:rPr>
          <w:rFonts w:ascii="Arial" w:hAnsi="Arial" w:cs="Arial"/>
        </w:rPr>
      </w:pPr>
      <w:r>
        <w:rPr>
          <w:rFonts w:ascii="Arial" w:hAnsi="Arial" w:cs="Arial"/>
        </w:rPr>
        <w:t>Desta forma, o ICMS passou a ter um papel importante nesta disputa, muitas vezes, sofrendo reduções e isenções. No entanto, é bom lembrar que ele é o principal tributo recolhido pelos estados brasileiros, uma vez que o montante arrecadado pode proporcionar importantes investimentos públicos em estruturas sociais, como nos setores de educação e saúde, entre outros. (IOB, 2023)</w:t>
      </w:r>
    </w:p>
    <w:p w:rsidR="003B62BD" w:rsidRDefault="008E5837">
      <w:pPr>
        <w:spacing w:line="360" w:lineRule="auto"/>
        <w:ind w:firstLine="708"/>
        <w:jc w:val="both"/>
        <w:rPr>
          <w:rFonts w:ascii="Arial" w:hAnsi="Arial" w:cs="Arial"/>
        </w:rPr>
      </w:pPr>
      <w:r>
        <w:rPr>
          <w:rFonts w:ascii="Arial" w:hAnsi="Arial" w:cs="Arial"/>
        </w:rPr>
        <w:t xml:space="preserve">Um ponto chave no papel do ICMS na Guerra Fiscal é a “liberdade” que os estados têm para regular as suas políticas fiscais. E é através dessa brecha que ocorrem reduções e até isenções nas cobranças de ICMS, ignorando, porém, convenções regulatórias. Para alguns especialistas, o que a princípio parece uma </w:t>
      </w:r>
      <w:r>
        <w:rPr>
          <w:rFonts w:ascii="Arial" w:hAnsi="Arial" w:cs="Arial"/>
        </w:rPr>
        <w:lastRenderedPageBreak/>
        <w:t>distribuição melhor de renda pelo país, se transforma em diminuição de arrecadação e, consequentemente, em investimentos menores nas estruturas sociais. (IOB, 2023)</w:t>
      </w:r>
    </w:p>
    <w:p w:rsidR="003B62BD" w:rsidRDefault="008E5837">
      <w:pPr>
        <w:spacing w:line="360" w:lineRule="auto"/>
        <w:ind w:firstLine="708"/>
        <w:jc w:val="both"/>
        <w:rPr>
          <w:rFonts w:ascii="Arial" w:hAnsi="Arial" w:cs="Arial"/>
        </w:rPr>
      </w:pPr>
      <w:r>
        <w:rPr>
          <w:rFonts w:ascii="Arial" w:hAnsi="Arial" w:cs="Arial"/>
        </w:rPr>
        <w:t>Na legislação consta que reduções e isenções do ICMS, por exemplo, devem ser aprovadas por membros dos outros estados em reuniões no Confaz (Conselho Nacional de Política Fazendária). Mesmo assim, os benefícios fiscais seguiram a todo o vapor e, em muitos casos, de maneira inconstitucional, ou melhor, de forma deliberada, sem a aprovação dos demais estados. E, por conta disso, mais recentemente, em 2017, foi sancionada a Lei Complementar nº 160, seguida do Convênio 190, que exigiram novos protocolos para a concessão de benefícios fiscais. (IOB, 2023)</w:t>
      </w:r>
    </w:p>
    <w:p w:rsidR="003B62BD" w:rsidRDefault="008E5837">
      <w:pPr>
        <w:spacing w:line="360" w:lineRule="auto"/>
        <w:ind w:firstLine="708"/>
        <w:jc w:val="both"/>
        <w:rPr>
          <w:rFonts w:ascii="Arial" w:hAnsi="Arial" w:cs="Arial"/>
        </w:rPr>
      </w:pPr>
      <w:r>
        <w:rPr>
          <w:rFonts w:ascii="Arial" w:hAnsi="Arial" w:cs="Arial"/>
        </w:rPr>
        <w:t>O texto da Reforma Tributária traz dois pontos principais que podem contribuir para o fim da Guerra Fiscal. Primeiro, em relação às alíquotas. No modelo dual, como consta na proposta, a União define a alíquota da CBS (Contribuição sobre Bens e Serviços); e os estados e municípios, do IBS (Imposto sobre Bens e Serviços). (IOB, 2023)</w:t>
      </w:r>
    </w:p>
    <w:p w:rsidR="003B62BD" w:rsidRDefault="008E5837">
      <w:pPr>
        <w:spacing w:line="360" w:lineRule="auto"/>
        <w:ind w:firstLine="708"/>
        <w:jc w:val="both"/>
        <w:rPr>
          <w:rFonts w:ascii="Arial" w:hAnsi="Arial" w:cs="Arial"/>
        </w:rPr>
      </w:pPr>
      <w:r>
        <w:rPr>
          <w:rFonts w:ascii="Arial" w:hAnsi="Arial" w:cs="Arial"/>
        </w:rPr>
        <w:t>Em relação aos tributos locais, a diferença será que os governos estaduais e as prefeituras terão de concordar com uma alíquota única, em vez de cada ente público reduzir tributos para estimular a guerra fiscal. Ou seja, esse é o ponto crucial, pois acabará com a “liberdade” dos estados para regular a política fiscal.</w:t>
      </w:r>
    </w:p>
    <w:p w:rsidR="003B62BD" w:rsidRDefault="008E5837">
      <w:pPr>
        <w:spacing w:line="360" w:lineRule="auto"/>
        <w:ind w:firstLine="708"/>
        <w:jc w:val="both"/>
        <w:rPr>
          <w:rFonts w:ascii="Arial" w:hAnsi="Arial" w:cs="Arial"/>
        </w:rPr>
      </w:pPr>
      <w:r>
        <w:rPr>
          <w:rFonts w:ascii="Arial" w:hAnsi="Arial" w:cs="Arial"/>
        </w:rPr>
        <w:t>No caso, a emenda propõe quatro alíquotas:</w:t>
      </w:r>
    </w:p>
    <w:p w:rsidR="003B62BD" w:rsidRDefault="008E5837">
      <w:pPr>
        <w:numPr>
          <w:ilvl w:val="0"/>
          <w:numId w:val="1"/>
        </w:numPr>
        <w:spacing w:line="360" w:lineRule="auto"/>
        <w:jc w:val="both"/>
        <w:rPr>
          <w:rFonts w:ascii="Arial" w:hAnsi="Arial" w:cs="Arial"/>
        </w:rPr>
      </w:pPr>
      <w:r>
        <w:rPr>
          <w:rFonts w:ascii="Arial" w:hAnsi="Arial" w:cs="Arial"/>
        </w:rPr>
        <w:t>alíquota de referência, proposta pelo Senado</w:t>
      </w:r>
    </w:p>
    <w:p w:rsidR="003B62BD" w:rsidRDefault="008E5837">
      <w:pPr>
        <w:numPr>
          <w:ilvl w:val="0"/>
          <w:numId w:val="1"/>
        </w:numPr>
        <w:spacing w:line="360" w:lineRule="auto"/>
        <w:jc w:val="both"/>
        <w:rPr>
          <w:rFonts w:ascii="Arial" w:hAnsi="Arial" w:cs="Arial"/>
        </w:rPr>
      </w:pPr>
      <w:r>
        <w:rPr>
          <w:rFonts w:ascii="Arial" w:hAnsi="Arial" w:cs="Arial"/>
        </w:rPr>
        <w:t>alíquota padrão, como regra geral;</w:t>
      </w:r>
    </w:p>
    <w:p w:rsidR="003B62BD" w:rsidRDefault="008E5837">
      <w:pPr>
        <w:numPr>
          <w:ilvl w:val="0"/>
          <w:numId w:val="1"/>
        </w:numPr>
        <w:spacing w:line="360" w:lineRule="auto"/>
        <w:jc w:val="both"/>
        <w:rPr>
          <w:rFonts w:ascii="Arial" w:hAnsi="Arial" w:cs="Arial"/>
        </w:rPr>
      </w:pPr>
      <w:r>
        <w:rPr>
          <w:rFonts w:ascii="Arial" w:hAnsi="Arial" w:cs="Arial"/>
        </w:rPr>
        <w:t>alíquota reduzida em 60%, ou seja, o valor recolhido será 40% da alíquota padrão; e</w:t>
      </w:r>
    </w:p>
    <w:p w:rsidR="003B62BD" w:rsidRDefault="008E5837">
      <w:pPr>
        <w:numPr>
          <w:ilvl w:val="0"/>
          <w:numId w:val="1"/>
        </w:numPr>
        <w:spacing w:line="360" w:lineRule="auto"/>
        <w:jc w:val="both"/>
        <w:rPr>
          <w:rFonts w:ascii="Arial" w:hAnsi="Arial" w:cs="Arial"/>
        </w:rPr>
      </w:pPr>
      <w:r>
        <w:rPr>
          <w:rFonts w:ascii="Arial" w:hAnsi="Arial" w:cs="Arial"/>
        </w:rPr>
        <w:t>alíquota zero.</w:t>
      </w:r>
    </w:p>
    <w:p w:rsidR="003B62BD" w:rsidRDefault="008E5837">
      <w:pPr>
        <w:spacing w:line="360" w:lineRule="auto"/>
        <w:ind w:firstLine="708"/>
        <w:jc w:val="both"/>
        <w:rPr>
          <w:rFonts w:ascii="Arial" w:hAnsi="Arial" w:cs="Arial"/>
        </w:rPr>
      </w:pPr>
      <w:r>
        <w:rPr>
          <w:rFonts w:ascii="Arial" w:hAnsi="Arial" w:cs="Arial"/>
        </w:rPr>
        <w:t>O segundo ponto é em relação à mudança da incidência dos tributos de origem (Estados e Municípios onde estão localizadas as empresas que fornecem bens e serviços) para destino (local onde o produto é consumido). (IOB, 2023)</w:t>
      </w:r>
    </w:p>
    <w:p w:rsidR="003B62BD" w:rsidRDefault="008E5837">
      <w:pPr>
        <w:spacing w:line="360" w:lineRule="auto"/>
        <w:ind w:firstLine="708"/>
        <w:jc w:val="both"/>
        <w:rPr>
          <w:rFonts w:ascii="Arial" w:hAnsi="Arial" w:cs="Arial"/>
        </w:rPr>
      </w:pPr>
      <w:r>
        <w:rPr>
          <w:rFonts w:ascii="Arial" w:hAnsi="Arial" w:cs="Arial"/>
        </w:rPr>
        <w:t>Em outras palavras, com a adoção do princípio do destino pela Reforma Tributária, a arrecadação passará da produção para o consumo, ou seja, para os Estados e Municípios onde estão localizados os consumidores. (IOB, 2023)</w:t>
      </w:r>
    </w:p>
    <w:p w:rsidR="003B62BD" w:rsidRDefault="008E5837">
      <w:pPr>
        <w:spacing w:line="360" w:lineRule="auto"/>
        <w:ind w:firstLine="708"/>
        <w:jc w:val="both"/>
        <w:rPr>
          <w:rFonts w:ascii="Arial" w:hAnsi="Arial" w:cs="Arial"/>
        </w:rPr>
      </w:pPr>
      <w:r>
        <w:rPr>
          <w:rFonts w:ascii="Arial" w:hAnsi="Arial" w:cs="Arial"/>
        </w:rPr>
        <w:t xml:space="preserve">Portanto, há quem defenda que o princípio do destino beneficia os Estados e Municípios menos desenvolvidos, promovendo uma redistribuição de receitas e </w:t>
      </w:r>
      <w:r>
        <w:rPr>
          <w:rFonts w:ascii="Arial" w:hAnsi="Arial" w:cs="Arial"/>
        </w:rPr>
        <w:lastRenderedPageBreak/>
        <w:t>reduzindo as desigualdades regionais e, consequentemente, acabará com a Guerra Fiscal. (IOB, 2023)</w:t>
      </w:r>
    </w:p>
    <w:p w:rsidR="003B62BD" w:rsidRDefault="003B62BD">
      <w:pPr>
        <w:spacing w:line="360" w:lineRule="auto"/>
        <w:ind w:firstLine="708"/>
        <w:jc w:val="both"/>
        <w:rPr>
          <w:rFonts w:ascii="Arial" w:hAnsi="Arial" w:cs="Arial"/>
        </w:rPr>
      </w:pPr>
    </w:p>
    <w:p w:rsidR="003B62BD" w:rsidRPr="00FA0EEC" w:rsidRDefault="008E5837">
      <w:pPr>
        <w:spacing w:after="120" w:line="360" w:lineRule="auto"/>
        <w:jc w:val="both"/>
        <w:rPr>
          <w:rFonts w:ascii="Arial" w:eastAsia="Arial" w:hAnsi="Arial" w:cs="Arial"/>
        </w:rPr>
      </w:pPr>
      <w:r w:rsidRPr="00FA0EEC">
        <w:rPr>
          <w:rFonts w:ascii="Arial" w:eastAsia="Arial" w:hAnsi="Arial" w:cs="Arial"/>
        </w:rPr>
        <w:t xml:space="preserve">3.4 Emenda Constitucional Nº 132/2023 </w:t>
      </w:r>
    </w:p>
    <w:p w:rsidR="003B62BD" w:rsidRPr="00FA0EEC" w:rsidRDefault="008E5837">
      <w:pPr>
        <w:spacing w:line="360" w:lineRule="auto"/>
        <w:ind w:firstLine="703"/>
        <w:jc w:val="both"/>
        <w:rPr>
          <w:rFonts w:ascii="Arial" w:eastAsia="Arial" w:hAnsi="Arial" w:cs="Arial"/>
        </w:rPr>
      </w:pPr>
      <w:r>
        <w:rPr>
          <w:rFonts w:ascii="Arial" w:eastAsia="Arial" w:hAnsi="Arial" w:cs="Arial"/>
          <w:color w:val="000000" w:themeColor="text1"/>
        </w:rPr>
        <w:t xml:space="preserve">Com a aprovação da Emenda Constitucional n° 132/2023, o Brasil ganha uma nova fase de seu sistema tributário. Um novo sistema que tem como objetivo a simplificação, justiça e desenvolvimento econômico. A implementação de um modelo dual de Impostos Sobre Valor Agregado (IVA), abrangendo o IBS (Imposto Sobre Bens e Serviços e a CBS (Contribuição sobre Bens e Serviços). </w:t>
      </w:r>
      <w:r>
        <w:rPr>
          <w:rFonts w:ascii="Arial" w:eastAsia="Arial" w:hAnsi="Arial" w:cs="Arial"/>
        </w:rPr>
        <w:t>(Agência Senado, 2023).</w:t>
      </w:r>
    </w:p>
    <w:p w:rsidR="003B62BD" w:rsidRPr="00FA0EEC" w:rsidRDefault="008E5837" w:rsidP="00FA0EEC">
      <w:pPr>
        <w:ind w:left="2268"/>
        <w:jc w:val="both"/>
        <w:rPr>
          <w:rFonts w:ascii="Arial" w:eastAsia="Arial" w:hAnsi="Arial" w:cs="Arial"/>
          <w:sz w:val="20"/>
          <w:szCs w:val="20"/>
        </w:rPr>
      </w:pPr>
      <w:r w:rsidRPr="00FA0EEC">
        <w:rPr>
          <w:rFonts w:ascii="Arial" w:eastAsia="Arial" w:hAnsi="Arial" w:cs="Arial"/>
          <w:sz w:val="20"/>
          <w:szCs w:val="20"/>
        </w:rPr>
        <w:t xml:space="preserve">Dentre os objetivos da Reforma Tributária Brasileira, listados pelo Ministério da Fazenda, 2023, estão o desenvolvimento, buscando a) fazer a economia brasileira crescer de forma sustentável, gerando emprego e renda; b) tornar nosso sistema tributário mais justo, reduzindo as desigualdades sociais e regionais e; c) Reduzir a complexidade da tributação, assegurando transparência e provendo maior cidadania fiscal </w:t>
      </w:r>
      <w:r w:rsidR="00FA0EEC" w:rsidRPr="00FA0EEC">
        <w:rPr>
          <w:rFonts w:ascii="Arial" w:eastAsia="Arial" w:hAnsi="Arial" w:cs="Arial"/>
          <w:sz w:val="20"/>
          <w:szCs w:val="20"/>
        </w:rPr>
        <w:t xml:space="preserve">(BRASIL, </w:t>
      </w:r>
      <w:r w:rsidRPr="00FA0EEC">
        <w:rPr>
          <w:rFonts w:ascii="Arial" w:eastAsia="Arial" w:hAnsi="Arial" w:cs="Arial"/>
          <w:sz w:val="20"/>
          <w:szCs w:val="20"/>
        </w:rPr>
        <w:t xml:space="preserve">2023). </w:t>
      </w:r>
    </w:p>
    <w:p w:rsidR="003B62BD" w:rsidRDefault="003B62BD">
      <w:pPr>
        <w:ind w:left="2268"/>
        <w:jc w:val="both"/>
        <w:rPr>
          <w:rFonts w:ascii="Arial" w:eastAsia="Arial" w:hAnsi="Arial" w:cs="Arial"/>
          <w:color w:val="000000" w:themeColor="text1"/>
          <w:sz w:val="20"/>
          <w:szCs w:val="20"/>
        </w:rPr>
      </w:pPr>
    </w:p>
    <w:p w:rsidR="003B62BD" w:rsidRDefault="008E5837">
      <w:pPr>
        <w:spacing w:after="120" w:line="360" w:lineRule="auto"/>
        <w:ind w:firstLine="703"/>
        <w:jc w:val="both"/>
        <w:rPr>
          <w:rFonts w:ascii="Arial" w:eastAsia="Arial" w:hAnsi="Arial" w:cs="Arial"/>
        </w:rPr>
      </w:pPr>
      <w:r>
        <w:rPr>
          <w:rFonts w:ascii="Arial" w:eastAsia="Arial" w:hAnsi="Arial" w:cs="Arial"/>
          <w:color w:val="000000" w:themeColor="text1"/>
        </w:rPr>
        <w:t xml:space="preserve">Apesar da aprovação, o texto prevê uma implantação gradual dos novos tributos, sendo a implementação da CBS em 2027 e o IBS terá sua total implementação somente no ano de 2033. Mas em 2026 haverá um período teste, para o IBS e a CBS. </w:t>
      </w:r>
      <w:r>
        <w:rPr>
          <w:rFonts w:ascii="Arial" w:eastAsia="Arial" w:hAnsi="Arial" w:cs="Arial"/>
        </w:rPr>
        <w:t>(Agência Senado, 2023).</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rPr>
        <w:t xml:space="preserve">O período de transição da reforma tributária visa a garantia de uma adaptação gradual das empresas e dos governos à nova estrutura tributária. Esse período foi projetado para amenizar os impactos das mudanças, permitindo assim que todos os envolvidos se ajustem progressivamente ao novo formato de tributação. </w:t>
      </w:r>
    </w:p>
    <w:p w:rsidR="003B62BD" w:rsidRDefault="008E5837">
      <w:pPr>
        <w:spacing w:after="120" w:line="360" w:lineRule="auto"/>
        <w:ind w:firstLine="703"/>
        <w:jc w:val="both"/>
        <w:rPr>
          <w:rFonts w:ascii="Arial" w:eastAsia="Arial" w:hAnsi="Arial" w:cs="Arial"/>
          <w:color w:val="000000" w:themeColor="text1"/>
        </w:rPr>
      </w:pPr>
      <w:r>
        <w:rPr>
          <w:rFonts w:ascii="Arial" w:eastAsia="Arial" w:hAnsi="Arial" w:cs="Arial"/>
          <w:color w:val="000000" w:themeColor="text1"/>
        </w:rPr>
        <w:t>Sendo assim, durante os anos, até 2033, há algumas datas a considerar:</w:t>
      </w:r>
    </w:p>
    <w:p w:rsidR="003B62BD" w:rsidRPr="00FA0EEC" w:rsidRDefault="008E5837">
      <w:pPr>
        <w:spacing w:after="120" w:line="360" w:lineRule="auto"/>
        <w:jc w:val="center"/>
        <w:rPr>
          <w:rFonts w:ascii="Arial" w:eastAsia="Arial" w:hAnsi="Arial" w:cs="Arial"/>
          <w:bCs/>
          <w:sz w:val="20"/>
          <w:szCs w:val="20"/>
        </w:rPr>
      </w:pPr>
      <w:r w:rsidRPr="00FA0EEC">
        <w:rPr>
          <w:rFonts w:ascii="Arial" w:eastAsia="Arial" w:hAnsi="Arial" w:cs="Arial"/>
          <w:bCs/>
          <w:sz w:val="20"/>
          <w:szCs w:val="20"/>
        </w:rPr>
        <w:t>Quadro 2: Período de Transição da Reforma</w:t>
      </w:r>
    </w:p>
    <w:tbl>
      <w:tblPr>
        <w:tblStyle w:val="Tabelacomgrade"/>
        <w:tblW w:w="9064"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245"/>
        <w:gridCol w:w="4819"/>
      </w:tblGrid>
      <w:tr w:rsidR="003B62BD">
        <w:trPr>
          <w:trHeight w:val="300"/>
        </w:trPr>
        <w:tc>
          <w:tcPr>
            <w:tcW w:w="4245" w:type="dxa"/>
            <w:tcMar>
              <w:left w:w="105" w:type="dxa"/>
              <w:right w:w="105" w:type="dxa"/>
            </w:tcMar>
            <w:vAlign w:val="center"/>
          </w:tcPr>
          <w:p w:rsidR="003B62BD" w:rsidRDefault="008E5837">
            <w:pPr>
              <w:spacing w:after="120" w:line="360" w:lineRule="auto"/>
              <w:ind w:firstLine="703"/>
              <w:jc w:val="both"/>
              <w:rPr>
                <w:rFonts w:ascii="Arial" w:eastAsia="Arial" w:hAnsi="Arial" w:cs="Arial"/>
              </w:rPr>
            </w:pPr>
            <w:r>
              <w:rPr>
                <w:rFonts w:ascii="Arial" w:eastAsia="Arial" w:hAnsi="Arial" w:cs="Arial"/>
                <w:b/>
                <w:bCs/>
              </w:rPr>
              <w:t>Ano</w:t>
            </w:r>
          </w:p>
        </w:tc>
        <w:tc>
          <w:tcPr>
            <w:tcW w:w="4819" w:type="dxa"/>
            <w:tcMar>
              <w:left w:w="105" w:type="dxa"/>
              <w:right w:w="105" w:type="dxa"/>
            </w:tcMar>
            <w:vAlign w:val="center"/>
          </w:tcPr>
          <w:p w:rsidR="003B62BD" w:rsidRDefault="008E5837">
            <w:pPr>
              <w:spacing w:after="120" w:line="360" w:lineRule="auto"/>
              <w:ind w:firstLine="703"/>
              <w:jc w:val="both"/>
              <w:rPr>
                <w:rFonts w:ascii="Arial" w:eastAsia="Arial" w:hAnsi="Arial" w:cs="Arial"/>
              </w:rPr>
            </w:pPr>
            <w:r>
              <w:rPr>
                <w:rFonts w:ascii="Arial" w:eastAsia="Arial" w:hAnsi="Arial" w:cs="Arial"/>
                <w:b/>
                <w:bCs/>
              </w:rPr>
              <w:t>Acontecimento</w:t>
            </w:r>
          </w:p>
        </w:tc>
      </w:tr>
      <w:tr w:rsidR="003B62BD">
        <w:trPr>
          <w:trHeight w:val="300"/>
        </w:trPr>
        <w:tc>
          <w:tcPr>
            <w:tcW w:w="4245" w:type="dxa"/>
            <w:tcMar>
              <w:left w:w="105" w:type="dxa"/>
              <w:right w:w="105" w:type="dxa"/>
            </w:tcMar>
            <w:vAlign w:val="center"/>
          </w:tcPr>
          <w:p w:rsidR="003B62BD" w:rsidRDefault="008E5837">
            <w:pPr>
              <w:spacing w:after="120" w:line="360" w:lineRule="auto"/>
              <w:ind w:firstLine="703"/>
              <w:jc w:val="both"/>
              <w:rPr>
                <w:rFonts w:ascii="Arial" w:eastAsia="Arial" w:hAnsi="Arial" w:cs="Arial"/>
              </w:rPr>
            </w:pPr>
            <w:r>
              <w:rPr>
                <w:rFonts w:ascii="Arial" w:eastAsia="Arial" w:hAnsi="Arial" w:cs="Arial"/>
              </w:rPr>
              <w:t>2026</w:t>
            </w:r>
          </w:p>
        </w:tc>
        <w:tc>
          <w:tcPr>
            <w:tcW w:w="4819" w:type="dxa"/>
            <w:tcMar>
              <w:left w:w="105" w:type="dxa"/>
              <w:right w:w="105" w:type="dxa"/>
            </w:tcMar>
            <w:vAlign w:val="center"/>
          </w:tcPr>
          <w:p w:rsidR="003B62BD" w:rsidRDefault="003B62BD">
            <w:pPr>
              <w:spacing w:after="120" w:line="360" w:lineRule="auto"/>
              <w:ind w:firstLine="703"/>
              <w:jc w:val="both"/>
              <w:rPr>
                <w:rFonts w:ascii="Arial" w:eastAsia="Arial" w:hAnsi="Arial" w:cs="Arial"/>
              </w:rPr>
            </w:pPr>
          </w:p>
          <w:p w:rsidR="003B62BD" w:rsidRDefault="008E5837">
            <w:pPr>
              <w:pStyle w:val="PargrafodaLista"/>
              <w:numPr>
                <w:ilvl w:val="0"/>
                <w:numId w:val="2"/>
              </w:numPr>
              <w:spacing w:after="120" w:line="360" w:lineRule="auto"/>
              <w:rPr>
                <w:rFonts w:eastAsia="Arial"/>
                <w:szCs w:val="24"/>
              </w:rPr>
            </w:pPr>
            <w:r>
              <w:rPr>
                <w:rFonts w:eastAsia="Arial"/>
                <w:szCs w:val="24"/>
              </w:rPr>
              <w:t>IBS período de teste (alíquota de 0,1%);</w:t>
            </w:r>
          </w:p>
          <w:p w:rsidR="003B62BD" w:rsidRDefault="008E5837">
            <w:pPr>
              <w:pStyle w:val="PargrafodaLista"/>
              <w:numPr>
                <w:ilvl w:val="0"/>
                <w:numId w:val="2"/>
              </w:numPr>
              <w:spacing w:after="120" w:line="360" w:lineRule="auto"/>
              <w:rPr>
                <w:rFonts w:eastAsia="Arial"/>
                <w:szCs w:val="24"/>
              </w:rPr>
            </w:pPr>
            <w:r>
              <w:rPr>
                <w:rFonts w:eastAsia="Arial"/>
                <w:szCs w:val="24"/>
              </w:rPr>
              <w:lastRenderedPageBreak/>
              <w:t>CBS período de teste (alíquota de 0,9%).</w:t>
            </w:r>
          </w:p>
          <w:p w:rsidR="003B62BD" w:rsidRDefault="003B62BD">
            <w:pPr>
              <w:spacing w:after="120" w:line="360" w:lineRule="auto"/>
              <w:ind w:firstLine="703"/>
              <w:jc w:val="both"/>
              <w:rPr>
                <w:rFonts w:ascii="Arial" w:eastAsia="Arial" w:hAnsi="Arial" w:cs="Arial"/>
              </w:rPr>
            </w:pPr>
          </w:p>
        </w:tc>
      </w:tr>
      <w:tr w:rsidR="003B62BD">
        <w:trPr>
          <w:trHeight w:val="300"/>
        </w:trPr>
        <w:tc>
          <w:tcPr>
            <w:tcW w:w="4245" w:type="dxa"/>
            <w:tcMar>
              <w:left w:w="105" w:type="dxa"/>
              <w:right w:w="105" w:type="dxa"/>
            </w:tcMar>
            <w:vAlign w:val="center"/>
          </w:tcPr>
          <w:p w:rsidR="003B62BD" w:rsidRDefault="008E5837">
            <w:pPr>
              <w:spacing w:after="120" w:line="360" w:lineRule="auto"/>
              <w:ind w:firstLine="703"/>
              <w:jc w:val="both"/>
              <w:rPr>
                <w:rFonts w:ascii="Arial" w:eastAsia="Arial" w:hAnsi="Arial" w:cs="Arial"/>
              </w:rPr>
            </w:pPr>
            <w:r>
              <w:rPr>
                <w:rFonts w:ascii="Arial" w:eastAsia="Arial" w:hAnsi="Arial" w:cs="Arial"/>
              </w:rPr>
              <w:lastRenderedPageBreak/>
              <w:t>2027</w:t>
            </w:r>
          </w:p>
        </w:tc>
        <w:tc>
          <w:tcPr>
            <w:tcW w:w="4819" w:type="dxa"/>
            <w:tcMar>
              <w:left w:w="105" w:type="dxa"/>
              <w:right w:w="105" w:type="dxa"/>
            </w:tcMar>
            <w:vAlign w:val="center"/>
          </w:tcPr>
          <w:p w:rsidR="003B62BD" w:rsidRDefault="008E5837">
            <w:pPr>
              <w:pStyle w:val="PargrafodaLista"/>
              <w:numPr>
                <w:ilvl w:val="0"/>
                <w:numId w:val="3"/>
              </w:numPr>
              <w:spacing w:after="120" w:line="360" w:lineRule="auto"/>
              <w:rPr>
                <w:rFonts w:eastAsia="Arial"/>
                <w:szCs w:val="24"/>
              </w:rPr>
            </w:pPr>
            <w:r>
              <w:rPr>
                <w:rFonts w:eastAsia="Arial"/>
                <w:szCs w:val="24"/>
              </w:rPr>
              <w:t>IPI (Imposto sobre Produtos Industrializados) será restrito a Zona Franca de Manaus (ZFM);</w:t>
            </w:r>
          </w:p>
          <w:p w:rsidR="003B62BD" w:rsidRDefault="008E5837">
            <w:pPr>
              <w:pStyle w:val="PargrafodaLista"/>
              <w:numPr>
                <w:ilvl w:val="0"/>
                <w:numId w:val="3"/>
              </w:numPr>
              <w:spacing w:after="120" w:line="360" w:lineRule="auto"/>
              <w:rPr>
                <w:rFonts w:eastAsia="Arial"/>
                <w:szCs w:val="24"/>
              </w:rPr>
            </w:pPr>
            <w:r>
              <w:rPr>
                <w:rFonts w:eastAsia="Arial"/>
                <w:szCs w:val="24"/>
              </w:rPr>
              <w:t>Fim do PIS e Cofins;</w:t>
            </w:r>
          </w:p>
          <w:p w:rsidR="003B62BD" w:rsidRDefault="008E5837">
            <w:pPr>
              <w:pStyle w:val="PargrafodaLista"/>
              <w:numPr>
                <w:ilvl w:val="0"/>
                <w:numId w:val="3"/>
              </w:numPr>
              <w:spacing w:after="120" w:line="360" w:lineRule="auto"/>
              <w:rPr>
                <w:rFonts w:eastAsia="Arial"/>
                <w:szCs w:val="24"/>
              </w:rPr>
            </w:pPr>
            <w:r>
              <w:rPr>
                <w:rFonts w:eastAsia="Arial"/>
                <w:szCs w:val="24"/>
              </w:rPr>
              <w:t>Possível criação de um Imposto Seletivo;</w:t>
            </w:r>
          </w:p>
          <w:p w:rsidR="003B62BD" w:rsidRDefault="008E5837">
            <w:pPr>
              <w:pStyle w:val="PargrafodaLista"/>
              <w:numPr>
                <w:ilvl w:val="0"/>
                <w:numId w:val="3"/>
              </w:numPr>
              <w:spacing w:after="120" w:line="360" w:lineRule="auto"/>
              <w:rPr>
                <w:rFonts w:eastAsia="Arial"/>
                <w:szCs w:val="24"/>
              </w:rPr>
            </w:pPr>
            <w:r>
              <w:rPr>
                <w:rFonts w:eastAsia="Arial"/>
                <w:szCs w:val="24"/>
              </w:rPr>
              <w:t>Total implementação da CBS.</w:t>
            </w:r>
          </w:p>
        </w:tc>
      </w:tr>
      <w:tr w:rsidR="003B62BD">
        <w:trPr>
          <w:trHeight w:val="300"/>
        </w:trPr>
        <w:tc>
          <w:tcPr>
            <w:tcW w:w="4245" w:type="dxa"/>
            <w:tcMar>
              <w:left w:w="105" w:type="dxa"/>
              <w:right w:w="105" w:type="dxa"/>
            </w:tcMar>
            <w:vAlign w:val="center"/>
          </w:tcPr>
          <w:p w:rsidR="003B62BD" w:rsidRDefault="008E5837">
            <w:pPr>
              <w:spacing w:after="120" w:line="360" w:lineRule="auto"/>
              <w:ind w:firstLine="703"/>
              <w:rPr>
                <w:rFonts w:ascii="Arial" w:eastAsia="Arial" w:hAnsi="Arial" w:cs="Arial"/>
              </w:rPr>
            </w:pPr>
            <w:r>
              <w:rPr>
                <w:rFonts w:ascii="Arial" w:eastAsia="Arial" w:hAnsi="Arial" w:cs="Arial"/>
              </w:rPr>
              <w:t>2029</w:t>
            </w:r>
          </w:p>
        </w:tc>
        <w:tc>
          <w:tcPr>
            <w:tcW w:w="4819" w:type="dxa"/>
            <w:tcMar>
              <w:left w:w="105" w:type="dxa"/>
              <w:right w:w="105" w:type="dxa"/>
            </w:tcMar>
            <w:vAlign w:val="center"/>
          </w:tcPr>
          <w:p w:rsidR="003B62BD" w:rsidRDefault="008E5837">
            <w:pPr>
              <w:pStyle w:val="PargrafodaLista"/>
              <w:numPr>
                <w:ilvl w:val="0"/>
                <w:numId w:val="4"/>
              </w:numPr>
              <w:spacing w:after="120" w:line="360" w:lineRule="auto"/>
              <w:rPr>
                <w:rFonts w:eastAsia="Arial"/>
                <w:szCs w:val="24"/>
              </w:rPr>
            </w:pPr>
            <w:r>
              <w:rPr>
                <w:rFonts w:eastAsia="Arial"/>
                <w:szCs w:val="24"/>
              </w:rPr>
              <w:t>Período de transição de ICMS e ISS para IBS.</w:t>
            </w:r>
          </w:p>
        </w:tc>
      </w:tr>
      <w:tr w:rsidR="003B62BD">
        <w:trPr>
          <w:trHeight w:val="300"/>
        </w:trPr>
        <w:tc>
          <w:tcPr>
            <w:tcW w:w="4245" w:type="dxa"/>
            <w:tcMar>
              <w:left w:w="105" w:type="dxa"/>
              <w:right w:w="105" w:type="dxa"/>
            </w:tcMar>
            <w:vAlign w:val="center"/>
          </w:tcPr>
          <w:p w:rsidR="003B62BD" w:rsidRDefault="008E5837">
            <w:pPr>
              <w:spacing w:after="120" w:line="360" w:lineRule="auto"/>
              <w:ind w:firstLine="703"/>
              <w:rPr>
                <w:rFonts w:ascii="Arial" w:eastAsia="Arial" w:hAnsi="Arial" w:cs="Arial"/>
              </w:rPr>
            </w:pPr>
            <w:r>
              <w:rPr>
                <w:rFonts w:ascii="Arial" w:eastAsia="Arial" w:hAnsi="Arial" w:cs="Arial"/>
              </w:rPr>
              <w:t>2033</w:t>
            </w:r>
          </w:p>
        </w:tc>
        <w:tc>
          <w:tcPr>
            <w:tcW w:w="4819" w:type="dxa"/>
            <w:tcMar>
              <w:left w:w="105" w:type="dxa"/>
              <w:right w:w="105" w:type="dxa"/>
            </w:tcMar>
            <w:vAlign w:val="center"/>
          </w:tcPr>
          <w:p w:rsidR="003B62BD" w:rsidRDefault="003B62BD">
            <w:pPr>
              <w:spacing w:after="120" w:line="360" w:lineRule="auto"/>
              <w:ind w:firstLine="703"/>
              <w:jc w:val="both"/>
              <w:rPr>
                <w:rFonts w:ascii="Arial" w:eastAsia="Arial" w:hAnsi="Arial" w:cs="Arial"/>
              </w:rPr>
            </w:pPr>
          </w:p>
          <w:p w:rsidR="003B62BD" w:rsidRDefault="008E5837">
            <w:pPr>
              <w:pStyle w:val="PargrafodaLista"/>
              <w:numPr>
                <w:ilvl w:val="0"/>
                <w:numId w:val="4"/>
              </w:numPr>
              <w:spacing w:after="120" w:line="360" w:lineRule="auto"/>
              <w:rPr>
                <w:rFonts w:eastAsia="Arial"/>
                <w:szCs w:val="24"/>
              </w:rPr>
            </w:pPr>
            <w:r>
              <w:rPr>
                <w:rFonts w:eastAsia="Arial"/>
                <w:szCs w:val="24"/>
              </w:rPr>
              <w:t>Total implementação do IBS.</w:t>
            </w:r>
          </w:p>
          <w:p w:rsidR="003B62BD" w:rsidRDefault="003B62BD">
            <w:pPr>
              <w:spacing w:after="120" w:line="360" w:lineRule="auto"/>
              <w:ind w:firstLine="703"/>
              <w:jc w:val="both"/>
              <w:rPr>
                <w:rFonts w:ascii="Arial" w:eastAsia="Arial" w:hAnsi="Arial" w:cs="Arial"/>
              </w:rPr>
            </w:pPr>
          </w:p>
        </w:tc>
      </w:tr>
    </w:tbl>
    <w:p w:rsidR="003B62BD" w:rsidRPr="00FA0EEC" w:rsidRDefault="008E5837">
      <w:pPr>
        <w:spacing w:after="120" w:line="360" w:lineRule="auto"/>
        <w:jc w:val="center"/>
        <w:rPr>
          <w:rFonts w:ascii="Arial" w:eastAsia="Arial" w:hAnsi="Arial" w:cs="Arial"/>
          <w:sz w:val="20"/>
          <w:szCs w:val="20"/>
        </w:rPr>
      </w:pPr>
      <w:r w:rsidRPr="00FA0EEC">
        <w:rPr>
          <w:rFonts w:ascii="Arial" w:eastAsia="Arial" w:hAnsi="Arial" w:cs="Arial"/>
          <w:sz w:val="20"/>
          <w:szCs w:val="20"/>
        </w:rPr>
        <w:t>Fonte: Agência Senado, 2023</w:t>
      </w:r>
    </w:p>
    <w:p w:rsidR="003B62BD" w:rsidRPr="00FA0EEC" w:rsidRDefault="008E5837">
      <w:pPr>
        <w:pStyle w:val="Ttulo1"/>
        <w:jc w:val="both"/>
        <w:rPr>
          <w:rFonts w:ascii="Arial" w:eastAsia="Arial" w:hAnsi="Arial" w:cs="Arial"/>
          <w:b w:val="0"/>
          <w:bCs w:val="0"/>
          <w:sz w:val="24"/>
          <w:szCs w:val="24"/>
        </w:rPr>
      </w:pPr>
      <w:r w:rsidRPr="00FA0EEC">
        <w:rPr>
          <w:rFonts w:ascii="Arial" w:eastAsia="Arial" w:hAnsi="Arial" w:cs="Arial"/>
          <w:b w:val="0"/>
          <w:bCs w:val="0"/>
          <w:sz w:val="24"/>
          <w:szCs w:val="24"/>
        </w:rPr>
        <w:t>3.5 Quadro Síntese</w:t>
      </w:r>
    </w:p>
    <w:p w:rsidR="003B62BD" w:rsidRDefault="008E5837">
      <w:pPr>
        <w:ind w:firstLine="708"/>
        <w:jc w:val="both"/>
        <w:rPr>
          <w:rFonts w:ascii="Arial" w:hAnsi="Arial" w:cs="Arial"/>
        </w:rPr>
      </w:pPr>
      <w:r>
        <w:rPr>
          <w:rFonts w:ascii="Arial" w:hAnsi="Arial" w:cs="Arial"/>
        </w:rPr>
        <w:t>O quadro síntese a seguir descreve as mudanças trazidas pela Reforma Tributária, comparando o sistema antes e após a reforma. Ele compila as informações e as torna mais claras, facilitando o entendimento.</w:t>
      </w:r>
    </w:p>
    <w:p w:rsidR="003B62BD" w:rsidRDefault="003B62BD">
      <w:pPr>
        <w:jc w:val="center"/>
        <w:rPr>
          <w:sz w:val="20"/>
          <w:szCs w:val="20"/>
        </w:rPr>
      </w:pPr>
    </w:p>
    <w:p w:rsidR="003B62BD" w:rsidRPr="003B1708" w:rsidRDefault="008E5837">
      <w:pPr>
        <w:spacing w:after="240"/>
        <w:jc w:val="center"/>
        <w:rPr>
          <w:rFonts w:eastAsia="Times New Roman"/>
          <w:sz w:val="20"/>
          <w:szCs w:val="20"/>
        </w:rPr>
      </w:pPr>
      <w:r w:rsidRPr="003B1708">
        <w:rPr>
          <w:rFonts w:ascii="Arial" w:eastAsia="Times New Roman" w:hAnsi="Arial" w:cs="Arial"/>
          <w:bCs/>
          <w:sz w:val="20"/>
          <w:szCs w:val="20"/>
        </w:rPr>
        <w:t>Quadro 3: Mudanças trazidas pela Reforma</w:t>
      </w:r>
    </w:p>
    <w:tbl>
      <w:tblPr>
        <w:tblStyle w:val="Tabelacomgrade"/>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015"/>
        <w:gridCol w:w="3015"/>
        <w:gridCol w:w="3015"/>
      </w:tblGrid>
      <w:tr w:rsidR="003B1708" w:rsidRPr="003B1708">
        <w:trPr>
          <w:trHeight w:val="300"/>
        </w:trPr>
        <w:tc>
          <w:tcPr>
            <w:tcW w:w="3015" w:type="dxa"/>
            <w:tcMar>
              <w:left w:w="105" w:type="dxa"/>
              <w:right w:w="105" w:type="dxa"/>
            </w:tcMar>
            <w:vAlign w:val="center"/>
          </w:tcPr>
          <w:p w:rsidR="003B62BD" w:rsidRPr="003B1708" w:rsidRDefault="008E5837">
            <w:pPr>
              <w:jc w:val="center"/>
              <w:rPr>
                <w:rFonts w:ascii="Arial" w:eastAsia="Arial" w:hAnsi="Arial" w:cs="Arial"/>
                <w:sz w:val="20"/>
                <w:szCs w:val="20"/>
              </w:rPr>
            </w:pPr>
            <w:r w:rsidRPr="003B1708">
              <w:rPr>
                <w:rFonts w:ascii="Arial" w:eastAsia="Arial" w:hAnsi="Arial" w:cs="Arial"/>
                <w:b/>
                <w:bCs/>
                <w:sz w:val="20"/>
                <w:szCs w:val="20"/>
              </w:rPr>
              <w:t>Aspecto</w:t>
            </w:r>
          </w:p>
        </w:tc>
        <w:tc>
          <w:tcPr>
            <w:tcW w:w="3015" w:type="dxa"/>
            <w:tcMar>
              <w:left w:w="105" w:type="dxa"/>
              <w:right w:w="105" w:type="dxa"/>
            </w:tcMar>
            <w:vAlign w:val="center"/>
          </w:tcPr>
          <w:p w:rsidR="003B62BD" w:rsidRPr="003B1708" w:rsidRDefault="008E5837">
            <w:pPr>
              <w:jc w:val="center"/>
              <w:rPr>
                <w:rFonts w:ascii="Arial" w:eastAsia="Arial" w:hAnsi="Arial" w:cs="Arial"/>
                <w:sz w:val="20"/>
                <w:szCs w:val="20"/>
              </w:rPr>
            </w:pPr>
            <w:r w:rsidRPr="003B1708">
              <w:rPr>
                <w:rFonts w:ascii="Arial" w:eastAsia="Arial" w:hAnsi="Arial" w:cs="Arial"/>
                <w:b/>
                <w:bCs/>
                <w:sz w:val="20"/>
                <w:szCs w:val="20"/>
              </w:rPr>
              <w:t>Antes da Reforma</w:t>
            </w:r>
          </w:p>
        </w:tc>
        <w:tc>
          <w:tcPr>
            <w:tcW w:w="3015" w:type="dxa"/>
            <w:tcMar>
              <w:left w:w="105" w:type="dxa"/>
              <w:right w:w="105" w:type="dxa"/>
            </w:tcMar>
            <w:vAlign w:val="center"/>
          </w:tcPr>
          <w:p w:rsidR="003B62BD" w:rsidRPr="003B1708" w:rsidRDefault="008E5837">
            <w:pPr>
              <w:jc w:val="center"/>
              <w:rPr>
                <w:rFonts w:ascii="Arial" w:eastAsia="Arial" w:hAnsi="Arial" w:cs="Arial"/>
                <w:sz w:val="20"/>
                <w:szCs w:val="20"/>
              </w:rPr>
            </w:pPr>
            <w:r w:rsidRPr="003B1708">
              <w:rPr>
                <w:rFonts w:ascii="Arial" w:eastAsia="Arial" w:hAnsi="Arial" w:cs="Arial"/>
                <w:b/>
                <w:bCs/>
                <w:sz w:val="20"/>
                <w:szCs w:val="20"/>
              </w:rPr>
              <w:t>Após a Reforma</w:t>
            </w:r>
          </w:p>
        </w:tc>
      </w:tr>
      <w:tr w:rsidR="003B1708" w:rsidRPr="003B1708">
        <w:trPr>
          <w:trHeight w:val="300"/>
        </w:trPr>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Impostos</w:t>
            </w:r>
          </w:p>
        </w:tc>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 xml:space="preserve">O sistema tributário brasileiro é complexo, com diversos impostos em diferentes esferas (federal, estadual e municipal), como ICMS, PIS, Cofins, IPI, ISS e outros, que geram confusão tanto para os </w:t>
            </w:r>
            <w:r w:rsidRPr="003B1708">
              <w:rPr>
                <w:rFonts w:ascii="Arial" w:eastAsia="Arial" w:hAnsi="Arial" w:cs="Arial"/>
                <w:sz w:val="20"/>
                <w:szCs w:val="20"/>
              </w:rPr>
              <w:lastRenderedPageBreak/>
              <w:t>contribuintes quanto para os administradores fiscais.</w:t>
            </w:r>
          </w:p>
        </w:tc>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lastRenderedPageBreak/>
              <w:t xml:space="preserve">Com a reforma, haverá uma simplificação: o IBS (Imposto sobre Bens e Serviços) substituirá muitos desses tributos, unificando a cobrança de impostos sobre consumo e </w:t>
            </w:r>
            <w:r w:rsidRPr="003B1708">
              <w:rPr>
                <w:rFonts w:ascii="Arial" w:eastAsia="Arial" w:hAnsi="Arial" w:cs="Arial"/>
                <w:sz w:val="20"/>
                <w:szCs w:val="20"/>
              </w:rPr>
              <w:lastRenderedPageBreak/>
              <w:t>tornando o processo mais direto e claro.</w:t>
            </w:r>
          </w:p>
        </w:tc>
      </w:tr>
      <w:tr w:rsidR="003B1708" w:rsidRPr="003B1708">
        <w:trPr>
          <w:trHeight w:val="300"/>
        </w:trPr>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lastRenderedPageBreak/>
              <w:t>ICMS e ISS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ICMS e ISS variam conforme cada estado e município, o que causa uma grande diversidade de regras e alíquotas.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O IBS será uma grande mudança, pois substituirá tanto o ICMS quanto o ISS, com regras uniformizadas para todo o país, permitindo uma gestão mais eficiente e menos burocrática.</w:t>
            </w:r>
          </w:p>
        </w:tc>
      </w:tr>
      <w:tr w:rsidR="003B1708" w:rsidRPr="003B1708">
        <w:trPr>
          <w:trHeight w:val="300"/>
        </w:trPr>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PIS/Cofins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O PIS e a Cofins, que hoje incidem sobre a receita das empresas, têm regimes diferentes e são frequentemente citados como fontes de complexidade e disputa tributária.</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Eles serão substituídos pela CBS (Contribuição sobre Bens e Serviços)</w:t>
            </w:r>
            <w:r w:rsidRPr="003B1708">
              <w:rPr>
                <w:rFonts w:ascii="Arial" w:eastAsia="Arial" w:hAnsi="Arial" w:cs="Arial"/>
                <w:b/>
                <w:bCs/>
                <w:sz w:val="20"/>
                <w:szCs w:val="20"/>
              </w:rPr>
              <w:t>,</w:t>
            </w:r>
            <w:r w:rsidRPr="003B1708">
              <w:rPr>
                <w:rFonts w:ascii="Arial" w:eastAsia="Arial" w:hAnsi="Arial" w:cs="Arial"/>
                <w:sz w:val="20"/>
                <w:szCs w:val="20"/>
              </w:rPr>
              <w:t xml:space="preserve"> trazendo mais simplicidade ao sistema, com uma alíquota única para tributar o consumo.</w:t>
            </w:r>
          </w:p>
        </w:tc>
      </w:tr>
      <w:tr w:rsidR="003B1708" w:rsidRPr="003B1708">
        <w:trPr>
          <w:trHeight w:val="300"/>
        </w:trPr>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Imunidades e isenções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Existem muitas isenções tributárias, que variam conforme o setor e o tipo de atividade, mas nem sempre são claras, o que gera incertezas.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A reforma pretende tornar essas isenções mais transparentes, estabelecendo de forma clara quais setores terão benefícios, com foco em áreas essenciais como saúde e educação, tornando o sistema mais justo.</w:t>
            </w:r>
          </w:p>
        </w:tc>
      </w:tr>
      <w:tr w:rsidR="003B1708" w:rsidRPr="003B1708">
        <w:trPr>
          <w:trHeight w:val="300"/>
        </w:trPr>
        <w:tc>
          <w:tcPr>
            <w:tcW w:w="3015" w:type="dxa"/>
            <w:tcMar>
              <w:left w:w="105" w:type="dxa"/>
              <w:right w:w="105" w:type="dxa"/>
            </w:tcMar>
            <w:vAlign w:val="cente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Transparência e gestão</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O sistema atual é muitas vezes criticado pela alta complexidade e pela dificuldade de monitoramento e fiscalização dos tributos, o que pode resultar em erros e disputas.</w:t>
            </w:r>
          </w:p>
        </w:tc>
        <w:tc>
          <w:tcPr>
            <w:tcW w:w="3015" w:type="dxa"/>
            <w:tcMar>
              <w:left w:w="105" w:type="dxa"/>
              <w:right w:w="105" w:type="dxa"/>
            </w:tcMar>
          </w:tcPr>
          <w:p w:rsidR="003B62BD" w:rsidRPr="003B1708" w:rsidRDefault="008E5837">
            <w:pPr>
              <w:jc w:val="both"/>
              <w:rPr>
                <w:rFonts w:ascii="Arial" w:eastAsia="Arial" w:hAnsi="Arial" w:cs="Arial"/>
                <w:sz w:val="20"/>
                <w:szCs w:val="20"/>
              </w:rPr>
            </w:pPr>
            <w:r w:rsidRPr="003B1708">
              <w:rPr>
                <w:rFonts w:ascii="Arial" w:eastAsia="Arial" w:hAnsi="Arial" w:cs="Arial"/>
                <w:sz w:val="20"/>
                <w:szCs w:val="20"/>
              </w:rPr>
              <w:t>A proposta da reforma é tornar o sistema mais transparente e ágil, usando tecnologia para facilitar o cumprimento das obrigações fiscais e garantir que todos possam pagar o que é justo, sem sobrecarregar os contribuintes.</w:t>
            </w:r>
          </w:p>
        </w:tc>
      </w:tr>
    </w:tbl>
    <w:p w:rsidR="003B62BD" w:rsidRPr="003B1708" w:rsidRDefault="008E5837">
      <w:pPr>
        <w:jc w:val="center"/>
        <w:rPr>
          <w:rFonts w:ascii="Arial" w:eastAsia="Arial" w:hAnsi="Arial" w:cs="Arial"/>
        </w:rPr>
      </w:pPr>
      <w:r w:rsidRPr="003B1708">
        <w:rPr>
          <w:rFonts w:ascii="Arial" w:eastAsia="Arial" w:hAnsi="Arial" w:cs="Arial"/>
          <w:sz w:val="20"/>
          <w:szCs w:val="20"/>
        </w:rPr>
        <w:t>Fonte: Agência Senado, 2023</w:t>
      </w:r>
    </w:p>
    <w:p w:rsidR="003B62BD" w:rsidRDefault="003B62BD">
      <w:pPr>
        <w:rPr>
          <w:rFonts w:ascii="Arial" w:eastAsia="Arial" w:hAnsi="Arial" w:cs="Arial"/>
        </w:rPr>
      </w:pPr>
    </w:p>
    <w:p w:rsidR="003B62BD" w:rsidRDefault="008E5837">
      <w:pPr>
        <w:ind w:firstLine="708"/>
        <w:jc w:val="both"/>
        <w:rPr>
          <w:rFonts w:ascii="Arial" w:eastAsia="Arial" w:hAnsi="Arial" w:cs="Arial"/>
        </w:rPr>
      </w:pPr>
      <w:r>
        <w:rPr>
          <w:rFonts w:ascii="Arial" w:eastAsia="Arial" w:hAnsi="Arial" w:cs="Arial"/>
        </w:rPr>
        <w:t>Como citado a Reforma Tributária traz grandes mudanças no sistema fiscal brasileiro, simplificando e unificando tributos. No entanto, essas mudanças não impactam somente os governos e as empresas, mas também tem impactos diretos na profissão de contador. Nesse contexto, é importante analisar e informar como essas mudanças influenciam nos trabalhos de contabilidade, um serviço essencial para a adaptação das empresas ao novo sistema tributário.</w:t>
      </w:r>
    </w:p>
    <w:p w:rsidR="003B62BD" w:rsidRDefault="003B62BD">
      <w:pPr>
        <w:ind w:firstLine="708"/>
        <w:jc w:val="both"/>
        <w:rPr>
          <w:rFonts w:ascii="Arial" w:eastAsia="Arial" w:hAnsi="Arial" w:cs="Arial"/>
        </w:rPr>
      </w:pPr>
    </w:p>
    <w:p w:rsidR="003B62BD" w:rsidRDefault="003B62BD">
      <w:pPr>
        <w:ind w:firstLine="708"/>
        <w:jc w:val="both"/>
        <w:rPr>
          <w:rFonts w:ascii="Arial" w:eastAsia="Arial" w:hAnsi="Arial" w:cs="Arial"/>
        </w:rPr>
      </w:pPr>
    </w:p>
    <w:p w:rsidR="003B62BD" w:rsidRPr="00FA0EEC" w:rsidRDefault="008E5837">
      <w:pPr>
        <w:spacing w:after="120" w:line="360" w:lineRule="auto"/>
        <w:jc w:val="both"/>
        <w:rPr>
          <w:rFonts w:ascii="Arial" w:eastAsia="Times New Roman" w:hAnsi="Arial" w:cs="Arial"/>
        </w:rPr>
      </w:pPr>
      <w:r w:rsidRPr="00FA0EEC">
        <w:rPr>
          <w:rFonts w:ascii="Arial" w:eastAsia="Times New Roman" w:hAnsi="Arial" w:cs="Arial"/>
        </w:rPr>
        <w:t>3.6 Reforma Tributária para os Contadores</w:t>
      </w:r>
    </w:p>
    <w:p w:rsidR="003B62BD" w:rsidRDefault="008E5837">
      <w:pPr>
        <w:spacing w:after="120" w:line="360" w:lineRule="auto"/>
        <w:ind w:firstLine="708"/>
        <w:jc w:val="both"/>
        <w:rPr>
          <w:rFonts w:ascii="Arial" w:eastAsia="Times New Roman" w:hAnsi="Arial" w:cs="Arial"/>
        </w:rPr>
      </w:pPr>
      <w:r>
        <w:rPr>
          <w:rFonts w:ascii="Arial" w:eastAsia="Times New Roman" w:hAnsi="Arial" w:cs="Arial"/>
        </w:rPr>
        <w:t>De acordo com a Agência Apex (2022), publicado pelo CFC, o contador é o profissional que tem o conhecimento adequado para fazer a economia funcionar de forma sustentável – não só viável financeiramente, mas que também se preocupa com as gerações futuras, tanto no aspecto econômico quanto ambiental e social.- e, de acordo com a legislação nacional, oferecendo subsídios técnicos para que governos, instituições sociais e iniciativa privada se desenvolvam com o máximo de suas capacidades.</w:t>
      </w:r>
    </w:p>
    <w:p w:rsidR="003B62BD" w:rsidRDefault="008E5837">
      <w:pPr>
        <w:spacing w:after="120" w:line="360" w:lineRule="auto"/>
        <w:ind w:firstLine="708"/>
        <w:jc w:val="both"/>
        <w:rPr>
          <w:rFonts w:ascii="Arial" w:eastAsia="Times New Roman" w:hAnsi="Arial" w:cs="Arial"/>
        </w:rPr>
      </w:pPr>
      <w:r>
        <w:rPr>
          <w:rFonts w:ascii="Arial" w:eastAsia="Times New Roman" w:hAnsi="Arial" w:cs="Arial"/>
        </w:rPr>
        <w:lastRenderedPageBreak/>
        <w:t>Na gestão financeira das empresas – independentemente do porte, sejam elas pequenas, médias ou grandes –, o profissional da contabilidade assume um papel fundamental na orientação sobre as finanças, sobre os gastos e as obrigações com o pessoal e, principalmente, sobre as regras tributárias que possibilitam a adequação correta ao regime de impostos e uma análise segura sobre a saúde do negócio e a sua capacidade de expansão. (AGÊNCIA APEX, 2022)</w:t>
      </w:r>
    </w:p>
    <w:p w:rsidR="003B62BD" w:rsidRDefault="008E5837">
      <w:pPr>
        <w:spacing w:after="120" w:line="360" w:lineRule="auto"/>
        <w:ind w:firstLine="708"/>
        <w:jc w:val="both"/>
        <w:rPr>
          <w:rFonts w:ascii="Arial" w:eastAsia="Times New Roman" w:hAnsi="Arial" w:cs="Arial"/>
        </w:rPr>
      </w:pPr>
      <w:r>
        <w:rPr>
          <w:rFonts w:ascii="Arial" w:eastAsia="Times New Roman" w:hAnsi="Arial" w:cs="Arial"/>
        </w:rPr>
        <w:t>O papel social do profissional da contabilidade é, portanto, de suma importância para o país. Sua atuação permite que empresas se desenvolvam, fazendo crescer a economia nacional, promovendo a geração de empregos e contribuindo para que toda a cadeia produtiva funcione financeiramente e socialmente bem. Atualização constante e olhar atento aos cenários político e econômico do país são requisitos fundamentais para o profissional da área, que precisa se manter à frente das alterações legislativas em debate para antever cenários e preparar seu serviço de assessoramento para oferecer soluções assertivas, eficazes e com a agilidade que o mercado exige. (AGÊNCIA APEX, 2022)</w:t>
      </w:r>
    </w:p>
    <w:p w:rsidR="003B62BD" w:rsidRDefault="008E5837">
      <w:pPr>
        <w:spacing w:after="120" w:line="360" w:lineRule="auto"/>
        <w:ind w:firstLine="708"/>
        <w:jc w:val="both"/>
        <w:rPr>
          <w:rFonts w:ascii="Arial" w:hAnsi="Arial" w:cs="Arial"/>
        </w:rPr>
      </w:pPr>
      <w:r>
        <w:rPr>
          <w:rFonts w:ascii="Arial" w:eastAsia="Times New Roman" w:hAnsi="Arial" w:cs="Arial"/>
        </w:rPr>
        <w:t xml:space="preserve">A profissão de contador no Brasil tem se destacado por seu crescimento e relevância, conforme diversas estatísticas que evidenciam a expansão dessa área. </w:t>
      </w:r>
      <w:r>
        <w:rPr>
          <w:rFonts w:ascii="Arial" w:hAnsi="Arial" w:cs="Arial"/>
        </w:rPr>
        <w:t>Segundo o Conselho Federal de Contabilidade (CFC), em 2023 o Brasil registrou 526.835 profissionais de contabilidade com registro ativo no país. </w:t>
      </w:r>
      <w:r>
        <w:rPr>
          <w:rFonts w:ascii="Arial" w:eastAsia="Times New Roman" w:hAnsi="Arial" w:cs="Arial"/>
        </w:rPr>
        <w:t>São Paulo é o estado com o maior número de contadores registrados, são mais de 153 mil, resultando em 29% do total. O ranking vem seguido de Rio de Janeiro, Minas Gerais e Paraná. (FLOR, 2024)</w:t>
      </w:r>
    </w:p>
    <w:p w:rsidR="003B62BD" w:rsidRDefault="008E5837">
      <w:pPr>
        <w:spacing w:after="120" w:line="360" w:lineRule="auto"/>
        <w:ind w:firstLine="708"/>
        <w:jc w:val="both"/>
        <w:rPr>
          <w:rFonts w:ascii="Arial" w:eastAsia="Times New Roman" w:hAnsi="Arial" w:cs="Arial"/>
        </w:rPr>
      </w:pPr>
      <w:r>
        <w:rPr>
          <w:rFonts w:ascii="Arial" w:eastAsia="Times New Roman" w:hAnsi="Arial" w:cs="Arial"/>
        </w:rPr>
        <w:t>Além disso, e</w:t>
      </w:r>
      <w:r>
        <w:rPr>
          <w:rFonts w:ascii="Arial" w:hAnsi="Arial" w:cs="Arial"/>
        </w:rPr>
        <w:t xml:space="preserve">ntre as estatísticas sobre a profissão de contador que chamam atenção, a taxa de empregabilidade está no topo. O mercado de trabalho para os contadores está em alta. </w:t>
      </w:r>
      <w:r>
        <w:rPr>
          <w:rFonts w:ascii="Arial" w:eastAsia="Times New Roman" w:hAnsi="Arial" w:cs="Arial"/>
        </w:rPr>
        <w:t>Segundo o Instituto de Pesquisa Econômica Aplicada (IPEA), a área registrou uma das maiores taxas de empregabilidade do Brasil, com cerca de 93.8% de profissionais empregados. (FLOR, 2024)</w:t>
      </w:r>
    </w:p>
    <w:p w:rsidR="003B62BD" w:rsidRDefault="008E5837">
      <w:pPr>
        <w:spacing w:after="120" w:line="360" w:lineRule="auto"/>
        <w:ind w:firstLine="708"/>
        <w:jc w:val="both"/>
        <w:rPr>
          <w:rFonts w:ascii="Arial" w:hAnsi="Arial" w:cs="Arial"/>
        </w:rPr>
      </w:pPr>
      <w:r>
        <w:rPr>
          <w:rFonts w:ascii="Arial" w:eastAsia="Times New Roman" w:hAnsi="Arial" w:cs="Arial"/>
        </w:rPr>
        <w:t>Outro dado importante é que o Brasil conta com mais de 84.800 escritórios de contabilidade</w:t>
      </w:r>
      <w:r>
        <w:rPr>
          <w:rFonts w:ascii="Arial" w:hAnsi="Arial" w:cs="Arial"/>
        </w:rPr>
        <w:t xml:space="preserve">, de acordo com o Conselho Federal de Contabilidade. Muitos profissionais da área acreditam que essa é uma quantidade acima da média, entretanto, segundo algumas pesquisas ainda estamos na fase de consolidação. </w:t>
      </w:r>
      <w:r>
        <w:rPr>
          <w:rFonts w:ascii="Arial" w:eastAsia="Times New Roman" w:hAnsi="Arial" w:cs="Arial"/>
        </w:rPr>
        <w:t xml:space="preserve">Nos </w:t>
      </w:r>
      <w:r>
        <w:rPr>
          <w:rFonts w:ascii="Arial" w:eastAsia="Times New Roman" w:hAnsi="Arial" w:cs="Arial"/>
        </w:rPr>
        <w:lastRenderedPageBreak/>
        <w:t>próximos anos, alguns novos escritórios vão surgir, principalmente com o avanço da tecnologia digital e da contabilidade 4.0. (FLOR, 2024)</w:t>
      </w:r>
    </w:p>
    <w:p w:rsidR="003B62BD" w:rsidRDefault="008E5837">
      <w:pPr>
        <w:spacing w:after="120" w:line="360" w:lineRule="auto"/>
        <w:ind w:firstLine="708"/>
        <w:jc w:val="both"/>
        <w:rPr>
          <w:rFonts w:ascii="Arial" w:eastAsia="Times New Roman" w:hAnsi="Arial" w:cs="Arial"/>
        </w:rPr>
      </w:pPr>
      <w:r>
        <w:rPr>
          <w:rFonts w:ascii="Arial" w:eastAsia="Times New Roman" w:hAnsi="Arial" w:cs="Arial"/>
        </w:rPr>
        <w:t>O curso de Ciências Contábeis está entre os mais procurados nas universidades brasileiras, ocupando o sétimo lugar no ranking de matrículas no ensino superior em relação à todas as áreas, conforme o Censo Educação Superior 2023. O levantamento é parte de uma série de indicadores divulgados pelo Inep (Instituto Nacional de Estudos e Pesquisas Educacionais Anísio Teixeira). O censo de 2023 registrou 2.580 instituições de educação superior. Dessas, 87,8% (2.264) eram privadas, e 12,2% (316) públicas. Nesse contexto, a rede privada ofertou 95,9% (23.681.916) das mais de 24,6 milhões de vagas. As instituições federais foram responsáveis por 4,1% (1.005.214) das vagas no ano passado. (GOMES, 2024)</w:t>
      </w:r>
    </w:p>
    <w:p w:rsidR="003B62BD" w:rsidRDefault="008E5837">
      <w:pPr>
        <w:spacing w:after="120" w:line="360" w:lineRule="auto"/>
        <w:ind w:firstLine="703"/>
        <w:jc w:val="both"/>
        <w:rPr>
          <w:rFonts w:ascii="Arial" w:eastAsia="Times New Roman" w:hAnsi="Arial" w:cs="Arial"/>
        </w:rPr>
      </w:pPr>
      <w:r>
        <w:rPr>
          <w:rFonts w:ascii="Arial" w:eastAsia="Times New Roman" w:hAnsi="Arial" w:cs="Arial"/>
        </w:rPr>
        <w:t>O Conselho Federal de Contabilidade (CFC) divulgou um levantamento realizado com grandes empresas para descobrir a satisfação dos clientes em relação ao trabalho do profissional de contabilidade. O resultado mostrou que os contadores vivem o seu melhor momento e estão sendo cada vez mais valorizados:  de acordo com os empresários, os profissionais contábeis os ajudaram em 86,39% nas tomadas de decisões e 86,51% na gestão financeira para que o negócio evoluísse. Além disso, 86,99% acreditam que o profissional contábil tem um nível de conhecimento bom e 90,12% identificam atitudes como ética, empatia, simpatia e postura como características vitais do profissional contábil. (FLOR, 2024)</w:t>
      </w:r>
    </w:p>
    <w:p w:rsidR="003B62BD" w:rsidRDefault="008E5837">
      <w:pPr>
        <w:spacing w:after="120" w:line="360" w:lineRule="auto"/>
        <w:ind w:firstLine="703"/>
        <w:jc w:val="both"/>
        <w:rPr>
          <w:rFonts w:ascii="Arial" w:eastAsia="Times New Roman" w:hAnsi="Arial" w:cs="Arial"/>
        </w:rPr>
      </w:pPr>
      <w:r>
        <w:rPr>
          <w:rFonts w:ascii="Arial" w:eastAsia="Times New Roman" w:hAnsi="Arial" w:cs="Arial"/>
        </w:rPr>
        <w:t xml:space="preserve">No contexto global, </w:t>
      </w:r>
      <w:r>
        <w:rPr>
          <w:rFonts w:ascii="Arial" w:hAnsi="Arial" w:cs="Arial"/>
        </w:rPr>
        <w:t xml:space="preserve">segundo Dados da Global Accounting Services Industry – Market Research Report, os serviços contábeis cresceram de US$ 587,94 bilhões em 2021 para US$ 639,3 bilhões em 2022. </w:t>
      </w:r>
      <w:r>
        <w:rPr>
          <w:rFonts w:ascii="Arial" w:eastAsia="Times New Roman" w:hAnsi="Arial" w:cs="Arial"/>
        </w:rPr>
        <w:t>Os números representam uma taxa de crescimento anual composta (CAGR) de 8,7%. A expectativa é que este mercado cresça para US$ 755,83 bilhões até 2026, com um CAGR de 4,3%. (FLOR, 2024)</w:t>
      </w:r>
    </w:p>
    <w:p w:rsidR="003B62BD" w:rsidRDefault="008E5837">
      <w:pPr>
        <w:spacing w:after="120" w:line="360" w:lineRule="auto"/>
        <w:ind w:firstLine="703"/>
        <w:jc w:val="both"/>
        <w:rPr>
          <w:rFonts w:ascii="Arial" w:eastAsia="Times New Roman" w:hAnsi="Arial" w:cs="Arial"/>
        </w:rPr>
      </w:pPr>
      <w:r>
        <w:rPr>
          <w:rFonts w:ascii="Arial" w:eastAsia="Times New Roman" w:hAnsi="Arial" w:cs="Arial"/>
        </w:rPr>
        <w:t>As estatísticas sobre a profissão de Contador revelam o crescimento da área e a expansão do contador no novo mercado. (FLOR, 2024)</w:t>
      </w:r>
    </w:p>
    <w:p w:rsidR="003B62BD" w:rsidRDefault="008E5837">
      <w:pPr>
        <w:spacing w:after="120" w:line="360" w:lineRule="auto"/>
        <w:ind w:firstLine="703"/>
        <w:jc w:val="both"/>
        <w:rPr>
          <w:rFonts w:ascii="Arial" w:eastAsia="Arial" w:hAnsi="Arial" w:cs="Arial"/>
          <w:color w:val="FF0000"/>
        </w:rPr>
      </w:pPr>
      <w:r>
        <w:rPr>
          <w:rFonts w:ascii="Arial" w:eastAsia="Times New Roman" w:hAnsi="Arial" w:cs="Arial"/>
        </w:rPr>
        <w:t xml:space="preserve">De acordo com Izalci Lucas, senador da República (PL-DF), contador, auditor e professor, é muito importante que os representantes dos contadores como o Conselho Federal de Contabilidade (CFC), Federação Nacional das Empresas de Serviços Contábeis e das Empresas de Assessoramento, Perícias, Informações e </w:t>
      </w:r>
      <w:r>
        <w:rPr>
          <w:rFonts w:ascii="Arial" w:eastAsia="Times New Roman" w:hAnsi="Arial" w:cs="Arial"/>
        </w:rPr>
        <w:lastRenderedPageBreak/>
        <w:t>Pesquisas (Fenacon) e Instituto de Auditoria Independente do Brasil (Ibracon), atuem e contribuam para que a Reforma Tributária reflita as melhores práticas e a realidade econômica do país. </w:t>
      </w:r>
      <w:r>
        <w:rPr>
          <w:rFonts w:ascii="Arial" w:eastAsia="Arial" w:hAnsi="Arial" w:cs="Arial"/>
        </w:rPr>
        <w:t>(LUCAS,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Conforme Lucas (2024), a categoria contábil deve assumir um papel central na estruturação do sistema tributário que atenda às necessidades do mercado e da sociedade. </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A atuação estratégica da categoria contábil na reforma tributária envolve um envolvimento direto e contínuo com a criação, implementação e acompanhamento das mudanças fiscais. Os profissionais contábeis atuam consultando, sugerindo melhorias, treinando empresas, ajustando processos, e também monitorando os efeitos da reforma, garantindo que ela atenda às necessidades do mercado e da sociedade. Além disso, os contadores estarão prontos para propor ajustes sempre que a reforma não alcançar os resultados desejados, assegurando que o novo sistema tributário seja eficiente e alinhado com as realidades econômicas do país.</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A Emenda Constitucional nº 132/2023 consiste na consolidação de tributos no Imposto sobre Valor Agregado (IVA) Dual, dividido em duas partes: </w:t>
      </w:r>
    </w:p>
    <w:p w:rsidR="003B62BD" w:rsidRDefault="008E5837">
      <w:pPr>
        <w:spacing w:after="120" w:line="360" w:lineRule="auto"/>
        <w:ind w:left="705" w:firstLine="708"/>
        <w:jc w:val="both"/>
        <w:textAlignment w:val="baseline"/>
        <w:rPr>
          <w:rFonts w:ascii="Arial" w:eastAsia="Times New Roman" w:hAnsi="Arial" w:cs="Arial"/>
        </w:rPr>
      </w:pPr>
      <w:r>
        <w:rPr>
          <w:rFonts w:ascii="Arial" w:eastAsia="Times New Roman" w:hAnsi="Arial" w:cs="Arial"/>
        </w:rPr>
        <w:t xml:space="preserve">1. Imposto sobre Bens e Serviços (IBS), que reunirá os impostos estaduais e municipais; e </w:t>
      </w:r>
    </w:p>
    <w:p w:rsidR="003B62BD" w:rsidRDefault="008E5837">
      <w:pPr>
        <w:spacing w:after="120" w:line="360" w:lineRule="auto"/>
        <w:ind w:left="705" w:firstLine="708"/>
        <w:jc w:val="both"/>
        <w:textAlignment w:val="baseline"/>
        <w:rPr>
          <w:rFonts w:ascii="Arial" w:eastAsia="Times New Roman" w:hAnsi="Arial" w:cs="Arial"/>
        </w:rPr>
      </w:pPr>
      <w:r>
        <w:rPr>
          <w:rFonts w:ascii="Arial" w:eastAsia="Times New Roman" w:hAnsi="Arial" w:cs="Arial"/>
        </w:rPr>
        <w:t xml:space="preserve">2. Contribuição sobre Bens e Serviços (CBS), que reunirá os impostos federais. </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Entre as principais mudanças aprovadas pela Câmara dos Deputados, pode-se citar a extinção de cinco tributos, que serão transformados em dois, o CBS e o IBS. O CBS englobará três tributos federais: o Programa de Integração Social (PIS), Contribuição para o Financiamento da Seguridade Social (Cofins) e o Imposto sobre Produtos Industrializados (IPI). O IBS, por sua vez, unificará o Imposto sobre Operações relativas à Circulação de Mercadorias (ICMS), que é um tributo de competência estadual e o Imposto sobre Serviços (ISS), de competência municipal. (CFC,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O modelo de tributação trazido pela Reforma, é dual, ou seja, a União arrecadará a sua cota de tributação, separadamente dos estados e municípios. Com essa metodologia, a União poderá definir a alíquota do CBS - frise-se, ainda não </w:t>
      </w:r>
      <w:r>
        <w:rPr>
          <w:rFonts w:ascii="Arial" w:eastAsia="Times New Roman" w:hAnsi="Arial" w:cs="Arial"/>
        </w:rPr>
        <w:lastRenderedPageBreak/>
        <w:t>determinada- e os estados e municípios deverão, mediante uma mesa de negociação, definir a alíquota do IBS. (CFC,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Nesta fase inicial da reforma tributária, o enfoque está nos tributos incidentes sobre o consumo, ou seja, aqueles pagos no ato da aquisição de bens e serviços. O Governo planeja, em fases subsequentes, alterar o paradigma da tributação sobre a renda. De maneira geral, a reforma propõe a unificação dos impostos sobre o consumo em um Imposto sobre Valor Agregado (IVA), adotando uma abordagem dual: uma parcela destinada aos tributos estaduais e municipais e outra aos federais. Apesar de a alíquota específica do IVA ainda não ter sido definida, estimativas indicam que deva girar em torno de 27,5%, posicionando-se como uma das mais elevadas globalmente.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Salienta-se que a intenção do Governo, com essa reforma, não é modificar a carga tributária atual do país, com a promessa de mantê-la inalterada. A distinção reside na simplificação do modelo, buscando maior eficiência na cobrança e na redução do custo de conformidade empresarial. Essa medida é motivada pela consideração de que o atual sistema tributário brasileiro é caótico e propenso a gerar distorções.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Para implementar as alterações propostas, o Congresso Nacional precisará aprovar, nos próximos anos, leis complementares que regulamentem as modificações trazidas pela emenda e estabeleçam as diretrizes gerais para a cobrança de IBS, CBS, Imposto Seletivo e da Contribuição Estadual. A ausência dessas novas regras tem gerado divergências entre os parlamentares quanto ao impacto na elevação ou redução dos impostos sobre o consumo. Segundo os cálculos do senador Eduardo Braga, relator da Reforma Tributária no Senado Federal, os cidadãos brasileiros não experimentarão um aumento em seus pagamentos para o Governo. Para garantir isso, ele instituiu uma “trava de referência”, permitindo a redução dos novos tributos em 2030 e 2035, caso haja um aumento da carga tributária em relação ao Produto Interno Bruto.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Mais de 170 países adotam algum modelo de imposto sobre valor agregado, segundo dados da Tax Foundation de 2022. À exceção dos Estados Unidos, onde cada estado tem o seu regime próprio de vendas e não há imposto federal de consumo, o IVA é consenso entre economias desenvolvidas e em </w:t>
      </w:r>
      <w:r>
        <w:rPr>
          <w:rFonts w:ascii="Arial" w:eastAsia="Times New Roman" w:hAnsi="Arial" w:cs="Arial"/>
        </w:rPr>
        <w:lastRenderedPageBreak/>
        <w:t>desenvolvimento. Há, no entanto, uma grande variedade de arranjos na adoção do imposto sobre consumo. São muitos os modelos de alíquota, de repartição de competência para instituição de um IVA ou da média de impostos cobrados por um governo. (VERA,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Uma primeira evidência de complexidade está na adoção do modelo de alíquota, uniforme ou combinada. Alguns países adotam uma alíquota padrão em coexistência com alíquotas reduzidas (zero ou mesmo isenção), a exemplo de Suíça, Croácia, Egito, Eslovênia, Vietnã e Gana. Outros países adotam o IVA com uma alíquota padrão, sem nenhuma previsão de alíquota reduzida, como Singapura (7%), Austrália (10%) e países do Golfo Pérsico (5%). A opção pela alíquota uniforme é citada como modelo na justificativa da PEC 45/2019. (VERA,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Quanto à competência, um bom exemplo a observar está na União Europeia, que tem hoje um dos modelos mais maduros de aplicação do imposto sobre valor agregado. No bloco, um conselho estabelece regras gerais aplicáveis a cada Estado-membro, que também podem fixar uma alíquota padrão em seu território, desde que não inferior a 15% e igual para produtos e serviços. (VERA,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A discussão sobre as taxas médias praticadas em outros países suscita alguma confusão. A média da alíquota IVA nos países da Organização para a Cooperação e Desenvolvimento Econômico (OCDE) gira em torno de 20%. A taxa média da União Europeia está em 21%. Há exemplos de aplicação funcional do IVA acima e abaixo. No Japão, por exemplo, o imposto é 10%. Na Hungria, 27%. (VERA,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No Brasil, uma das primeiras sinalizações do governo, feita pelo secretário Bernard Appy, indica a possibilidade de ação de uma taxa de 25%, mesmo número de Dinamarca e Suécia. Assim como na comparação entre os modelos de alíquotas, a comparação simples entre taxas médias também não oferece respostas evidentes, dada a diferença estrutural entre os regimes políticos, tributários e econômicos dos países pesquisados. A comparação com outros países, como se nota, pode aumentar o campo de disputa sobre a reforma tributária brasileira. Mas também evidencia que a discussão nacional avança sobre um importante consenso, com o IVA no ponto de partida. (VERA,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lastRenderedPageBreak/>
        <w:t>De acordo com o CFC (2024), a recente conquista no Senado trouxe uma mudança significativa, com reflexos diretos na alíquota-base do Imposto sobre Valor Agregado (IVA), estabelecido na Emenda Constitucional n.º 132/2023, que propõe diminuição na alíquota para os profissionais de atividades intelectuais, como o advogado, o médico, o dentista, o engenheiro, o artista, entre outros.</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A redução de 30% na alíquota base do IVA representa uma medida importante para o setor contábil, pois impacta diretamente os custos operacionais e tributários das empresas e profissionais dessa área. Essa redução visa promover uma maior competitividade e estimular o crescimento do setor, ao mesmo tempo em que busca simplificar o sistema tributário e reduzir a carga fiscal sobre os serviços contábeis.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Essa conquista viabiliza a arrecadação dos entes da Federação e representa uma oportunidade de melhoria nas condições de atuação no mercado. Com a redução da alíquota do IVA, é possível que os custos tributários para empresas e clientes diminuam, tornando os serviços contábeis mais acessíveis e atraentes para um número maior de consumidores.</w:t>
      </w:r>
    </w:p>
    <w:p w:rsidR="003B62BD" w:rsidRDefault="008E5837">
      <w:pPr>
        <w:spacing w:after="120" w:line="360" w:lineRule="auto"/>
        <w:ind w:firstLine="703"/>
        <w:jc w:val="both"/>
        <w:rPr>
          <w:rFonts w:ascii="Arial" w:eastAsia="Arial" w:hAnsi="Arial" w:cs="Arial"/>
        </w:rPr>
      </w:pPr>
      <w:r>
        <w:rPr>
          <w:rFonts w:ascii="Arial" w:eastAsia="Times New Roman" w:hAnsi="Arial" w:cs="Arial"/>
        </w:rPr>
        <w:t>Com essa alíquota reduzida para profissionais intelectuais, como os contadores, diminui custos e tributos no setor. Além disso, permite a manutenção saudável da atividade de forma competitiva, acessível e atrativa. Isso cria um ambiente melhor para o desenvolvimento dos serviços contábeis.  Diante esse cenário favorável à profissão pode ser ainda mais potencializado com a educação continuada.</w:t>
      </w:r>
      <w:r>
        <w:rPr>
          <w:rFonts w:ascii="Arial" w:eastAsia="Arial" w:hAnsi="Arial" w:cs="Arial"/>
        </w:rPr>
        <w:t xml:space="preserve">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A educação continuada é um investimento para os contadores que querem enfrentar os desafios da Reforma Tributária com confiança. O aprendizado contínuo garante profissionais capacitados para lidar com os aspectos técnicos e práticos dessas mudanças. Manter-se atualizado, bem informado e adaptável será essencial para ter sucesso em um ambiente em constante transformação, assegurando que os contadores possam oferecer soluções eficientes e agregar valor aos seus clientes. (CFC, 2024)</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Os contadores podem buscar essa capacitação por meio de entidades como o CFC que oferece programas, palestras e eventos de capacitação; universidades que </w:t>
      </w:r>
      <w:r>
        <w:rPr>
          <w:rFonts w:ascii="Arial" w:eastAsia="Times New Roman" w:hAnsi="Arial" w:cs="Arial"/>
        </w:rPr>
        <w:lastRenderedPageBreak/>
        <w:t>fornecem pós-graduações, MBAs e cursos de extensão e; plataformas online, como Coursera e Udemy, por exemplo. Organizações como a Federação Nacional das Empresas de Serviços Contábeis (Fenacon) e o Instituto de Auditoria Independente do Brasil (Ibracon) também oferecem cursos de educação continuada, workshops e encontros técnicos. Esses eventos ajudam os contadores a se manterem atualizados em relação às novas tendências, regulamentos e tecnologias no setor.</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rPr>
        <w:t xml:space="preserve">Algumas iniciativas estaduais ou municipais oferecem programas de capacitação gratuita ou com custos reduzidos para profissionais em várias áreas, incluindo contabilidade. Embora os incentivos fiscais sejam limitados e o apoio governamental direto à educação continuada seja escasso, existem algumas alternativas para ajudar os contadores a se manterem atualizados e aptos a enfrentar as transformações no ambiente tributário.  </w:t>
      </w:r>
    </w:p>
    <w:p w:rsidR="003B62BD" w:rsidRDefault="008E5837">
      <w:pPr>
        <w:spacing w:line="360" w:lineRule="auto"/>
        <w:ind w:firstLine="705"/>
        <w:jc w:val="both"/>
        <w:textAlignment w:val="baseline"/>
        <w:rPr>
          <w:rFonts w:ascii="Arial" w:eastAsia="Times New Roman" w:hAnsi="Arial" w:cs="Arial"/>
        </w:rPr>
      </w:pPr>
      <w:r>
        <w:rPr>
          <w:rFonts w:ascii="Arial" w:eastAsia="Times New Roman" w:hAnsi="Arial" w:cs="Arial"/>
        </w:rPr>
        <w:t>O profissional que investe em sua educação continua terá a vantagem de se destacar em um mercado em constante mudança, contribuindo de forma significativa para o sucesso de seus clientes e para o crescimento da profissão contábil. (CFC, 2024)</w:t>
      </w:r>
    </w:p>
    <w:p w:rsidR="003B62BD" w:rsidRDefault="003B62BD">
      <w:pPr>
        <w:spacing w:line="360" w:lineRule="auto"/>
        <w:jc w:val="both"/>
        <w:textAlignment w:val="baseline"/>
        <w:rPr>
          <w:rFonts w:ascii="Segoe UI" w:eastAsia="Times New Roman" w:hAnsi="Segoe UI" w:cs="Segoe UI"/>
          <w:sz w:val="18"/>
          <w:szCs w:val="18"/>
        </w:rPr>
      </w:pPr>
    </w:p>
    <w:p w:rsidR="003B62BD" w:rsidRPr="003B1708" w:rsidRDefault="008E5837">
      <w:pPr>
        <w:spacing w:after="120" w:line="360" w:lineRule="auto"/>
        <w:jc w:val="both"/>
        <w:textAlignment w:val="baseline"/>
        <w:rPr>
          <w:rFonts w:ascii="Arial" w:eastAsia="Times New Roman" w:hAnsi="Arial" w:cs="Arial"/>
        </w:rPr>
      </w:pPr>
      <w:r w:rsidRPr="003B1708">
        <w:rPr>
          <w:rFonts w:ascii="Arial" w:eastAsia="Times New Roman" w:hAnsi="Arial" w:cs="Arial"/>
        </w:rPr>
        <w:t>3.7 O Papel dos Contadores na Reforma Tributária: Desafios e Oportunidades </w:t>
      </w:r>
    </w:p>
    <w:p w:rsidR="003B62BD" w:rsidRDefault="008E5837">
      <w:pPr>
        <w:spacing w:after="120" w:line="360" w:lineRule="auto"/>
        <w:ind w:firstLine="705"/>
        <w:jc w:val="both"/>
        <w:textAlignment w:val="baseline"/>
        <w:rPr>
          <w:rFonts w:ascii="Segoe UI" w:eastAsia="Times New Roman" w:hAnsi="Segoe UI" w:cs="Segoe UI"/>
          <w:sz w:val="18"/>
          <w:szCs w:val="18"/>
        </w:rPr>
      </w:pPr>
      <w:r>
        <w:rPr>
          <w:rFonts w:ascii="Arial" w:eastAsia="Times New Roman" w:hAnsi="Arial" w:cs="Arial"/>
        </w:rPr>
        <w:t>Atualmente, a Reforma Tributária está em debate focando nas leis complementares e na regulamentação da estrutura e funcionamento do novo sistema tributário, ainda não definido totalmente.</w:t>
      </w:r>
    </w:p>
    <w:p w:rsidR="003B62BD" w:rsidRDefault="008E5837">
      <w:pPr>
        <w:spacing w:after="120" w:line="360" w:lineRule="auto"/>
        <w:ind w:firstLine="705"/>
        <w:jc w:val="both"/>
        <w:rPr>
          <w:rFonts w:ascii="Arial" w:eastAsia="Times New Roman" w:hAnsi="Arial" w:cs="Arial"/>
        </w:rPr>
      </w:pPr>
      <w:r>
        <w:rPr>
          <w:rFonts w:ascii="Arial" w:eastAsia="Times New Roman" w:hAnsi="Arial" w:cs="Arial"/>
        </w:rPr>
        <w:t>A Reforma Tributária pode prejudicar os entes da Federação ao reduzir sua autonomia fiscal, diminuir a receita própria e aumentar a dependência de transferências da União. Esse novo modelo centraliza a arrecadação a favor da União e atende à exigência da OCDE (Organização para a Cooperação e Desenvolvimento Econômico), que recomenda a simplificação e a modernização dos sistemas tributários para aumentar a eficiência fiscal e reduzir a complexidade.</w:t>
      </w:r>
    </w:p>
    <w:p w:rsidR="003B62BD" w:rsidRDefault="008E5837">
      <w:pPr>
        <w:spacing w:after="120" w:line="360" w:lineRule="auto"/>
        <w:ind w:firstLine="705"/>
        <w:jc w:val="both"/>
        <w:textAlignment w:val="baseline"/>
        <w:rPr>
          <w:rFonts w:ascii="Segoe UI" w:eastAsia="Times New Roman" w:hAnsi="Segoe UI" w:cs="Segoe UI"/>
          <w:sz w:val="18"/>
          <w:szCs w:val="18"/>
        </w:rPr>
      </w:pPr>
      <w:r>
        <w:rPr>
          <w:rFonts w:ascii="Arial" w:eastAsia="Times New Roman" w:hAnsi="Arial" w:cs="Arial"/>
        </w:rPr>
        <w:t>Adotar o novo modelo vai fazer com que as empresas tenham que calcular os tributos de dois jeitos diferentes, o que vai contra a ideia de simplificação da reforma. A transição vai acontecer de 2026 a 2032, e durante esse tempo, as empresas vão ter que lidar com os dois sistemas ao mesmo tempo. (CHAMUN, 2024) </w:t>
      </w:r>
    </w:p>
    <w:p w:rsidR="003B62BD" w:rsidRDefault="008E5837">
      <w:pPr>
        <w:spacing w:after="120" w:line="360" w:lineRule="auto"/>
        <w:ind w:firstLine="705"/>
        <w:jc w:val="both"/>
        <w:rPr>
          <w:rFonts w:ascii="Segoe UI" w:eastAsia="Times New Roman" w:hAnsi="Segoe UI" w:cs="Segoe UI"/>
          <w:sz w:val="18"/>
          <w:szCs w:val="18"/>
        </w:rPr>
      </w:pPr>
      <w:r>
        <w:rPr>
          <w:rFonts w:ascii="Arial" w:eastAsia="Times New Roman" w:hAnsi="Arial" w:cs="Arial"/>
        </w:rPr>
        <w:lastRenderedPageBreak/>
        <w:t>A Reforma Tributária pode afetar significativamente o setor de serviços, conforme aponta Diogo Chamun (2024). O principal problema é que, ao contrário da indústria e do comércio, o setor de serviços não possui uma cadeia produtiva longa que permita gerar créditos tributários. Nos outros setores, as empresas podem compensar o tributo pago nas etapas iniciais da produção com o tributo devido nas etapas seguintes, o que reduz sua carga tributária total. No entanto, no setor de serviços, a maior parte dos custos está relacionada à folha de pagamento, que não gera créditos fiscais, o que significa que as empresas desse setor não poderão compensar os tributos pagos sobre salários, resultando em uma carga tributária mais alta.</w:t>
      </w:r>
    </w:p>
    <w:p w:rsidR="003B62BD" w:rsidRDefault="008E5837">
      <w:pPr>
        <w:spacing w:line="360" w:lineRule="auto"/>
        <w:ind w:firstLine="705"/>
        <w:jc w:val="both"/>
        <w:rPr>
          <w:rFonts w:ascii="Arial" w:eastAsia="Times New Roman" w:hAnsi="Arial" w:cs="Arial"/>
        </w:rPr>
      </w:pPr>
      <w:r>
        <w:rPr>
          <w:rFonts w:ascii="Arial" w:eastAsia="Times New Roman" w:hAnsi="Arial" w:cs="Arial"/>
        </w:rPr>
        <w:t xml:space="preserve"> Esse aumento nos tributos pode tornar os serviços mais caros para os consumidores, afetando principalmente os serviços essenciais e aqueles prestados por pequenas empresas, que já operam com margens de lucro mais apertadas. Sem a possibilidade de utilizar créditos tributários, essas empresas terão dificuldade para competir com os setores que podem reduzir sua carga tributária. Além disso, o aumento de custos pode levar a uma redução na competitividade, a diminuição de empregos e até ao fechamento de algumas empresas. A adaptação ao novo sistema tributário pode ser um desafio para muitas empresas do setor, resultando em dificuldades financeiras e operacionais. Isso pode prejudicar ainda mais a economia local, já que o setor de serviços é essencial para o funcionamento de várias atividades comerciais e para a geração de empregos. (CHAMUN, 2024)</w:t>
      </w:r>
    </w:p>
    <w:p w:rsidR="003B62BD" w:rsidRDefault="003B62BD">
      <w:pPr>
        <w:spacing w:line="360" w:lineRule="auto"/>
        <w:ind w:firstLine="705"/>
        <w:jc w:val="both"/>
        <w:rPr>
          <w:rFonts w:ascii="Arial" w:eastAsia="Times New Roman" w:hAnsi="Arial" w:cs="Arial"/>
        </w:rPr>
      </w:pPr>
    </w:p>
    <w:p w:rsidR="003B62BD" w:rsidRPr="0005336A" w:rsidRDefault="008E5837">
      <w:pPr>
        <w:spacing w:after="120" w:line="360" w:lineRule="auto"/>
        <w:jc w:val="both"/>
        <w:rPr>
          <w:rFonts w:ascii="Arial" w:eastAsia="Times New Roman" w:hAnsi="Arial" w:cs="Arial"/>
        </w:rPr>
      </w:pPr>
      <w:r w:rsidRPr="0005336A">
        <w:rPr>
          <w:rFonts w:ascii="Arial" w:eastAsia="Times New Roman" w:hAnsi="Arial" w:cs="Arial"/>
        </w:rPr>
        <w:t>3.8 Cenário Projetado De Prestadora De Serviços Tributada Pelo Simples Nacional</w:t>
      </w:r>
    </w:p>
    <w:p w:rsidR="003B62BD" w:rsidRDefault="008E5837">
      <w:pPr>
        <w:spacing w:after="120" w:line="360" w:lineRule="auto"/>
        <w:ind w:firstLine="705"/>
        <w:jc w:val="both"/>
        <w:rPr>
          <w:rFonts w:ascii="Arial" w:hAnsi="Arial" w:cs="Arial"/>
        </w:rPr>
      </w:pPr>
      <w:r>
        <w:rPr>
          <w:rFonts w:ascii="Arial" w:hAnsi="Arial" w:cs="Arial"/>
        </w:rPr>
        <w:t>Nesta seção serão analisadas as projeções para as empresas prestadoras de serviços contábeis optantes pelo Simples Nacional. Será tratado tanto o cenário atual quanto as projeções de impacto com base no texto da Reforma Tributária aprovada. (CFC, 2023)</w:t>
      </w:r>
    </w:p>
    <w:p w:rsidR="003B62BD" w:rsidRDefault="008E5837">
      <w:pPr>
        <w:spacing w:after="120" w:line="360" w:lineRule="auto"/>
        <w:ind w:firstLine="705"/>
        <w:jc w:val="both"/>
        <w:rPr>
          <w:rFonts w:ascii="Arial" w:hAnsi="Arial" w:cs="Arial"/>
        </w:rPr>
      </w:pPr>
      <w:r>
        <w:rPr>
          <w:rFonts w:ascii="Arial" w:hAnsi="Arial" w:cs="Arial"/>
        </w:rPr>
        <w:t xml:space="preserve">A Tabela 1 demonstra os valores apurados sob o regime tributário atual, com base no Anexo III da Lei Complementar nº 123/2006, que regula o Simples Nacional. A empresa prestadora de serviços contábeis está promovendo o recolhimento do ISS fixo por profissional, com base nos valores cobrados pelo Munícipio de Aracaju/SE. </w:t>
      </w:r>
      <w:r>
        <w:rPr>
          <w:rFonts w:ascii="Arial" w:hAnsi="Arial" w:cs="Arial"/>
        </w:rPr>
        <w:lastRenderedPageBreak/>
        <w:t>Para fins exclusivamente de exemplo, considerou-se que o recolhimento tem por base o valor devido por dois profissionais liberais. (CFC, 2023)</w:t>
      </w:r>
    </w:p>
    <w:p w:rsidR="003B62BD" w:rsidRPr="003B1708" w:rsidRDefault="008E5837">
      <w:pPr>
        <w:spacing w:line="360" w:lineRule="auto"/>
        <w:jc w:val="center"/>
        <w:rPr>
          <w:rFonts w:ascii="Arial" w:hAnsi="Arial" w:cs="Arial"/>
          <w:sz w:val="20"/>
          <w:szCs w:val="20"/>
        </w:rPr>
      </w:pPr>
      <w:r w:rsidRPr="003B1708">
        <w:rPr>
          <w:rFonts w:ascii="Arial" w:hAnsi="Arial" w:cs="Arial"/>
          <w:sz w:val="20"/>
          <w:szCs w:val="20"/>
        </w:rPr>
        <w:t>Tabela 1. Síntese da apuração dos tributos em empresa prestadora de serviços contábeis tributada pelo Simples Nacional</w:t>
      </w:r>
    </w:p>
    <w:p w:rsidR="003B62BD" w:rsidRDefault="008E5837">
      <w:pPr>
        <w:spacing w:line="360" w:lineRule="auto"/>
        <w:jc w:val="center"/>
        <w:rPr>
          <w:rFonts w:ascii="Arial" w:hAnsi="Arial" w:cs="Arial"/>
        </w:rPr>
      </w:pPr>
      <w:r>
        <w:rPr>
          <w:rFonts w:ascii="Arial" w:hAnsi="Arial" w:cs="Arial"/>
          <w:noProof/>
        </w:rPr>
        <w:drawing>
          <wp:inline distT="0" distB="0" distL="0" distR="0">
            <wp:extent cx="4457700" cy="2057400"/>
            <wp:effectExtent l="0" t="0" r="0" b="0"/>
            <wp:docPr id="1543725441"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725441" name="Imagem 1" descr="Tabela&#10;&#10;Descrição gerada automaticamente"/>
                    <pic:cNvPicPr>
                      <a:picLocks noChangeAspect="1"/>
                    </pic:cNvPicPr>
                  </pic:nvPicPr>
                  <pic:blipFill>
                    <a:blip r:embed="rId9"/>
                    <a:stretch>
                      <a:fillRect/>
                    </a:stretch>
                  </pic:blipFill>
                  <pic:spPr>
                    <a:xfrm>
                      <a:off x="0" y="0"/>
                      <a:ext cx="4458322" cy="2057687"/>
                    </a:xfrm>
                    <a:prstGeom prst="rect">
                      <a:avLst/>
                    </a:prstGeom>
                  </pic:spPr>
                </pic:pic>
              </a:graphicData>
            </a:graphic>
          </wp:inline>
        </w:drawing>
      </w:r>
    </w:p>
    <w:p w:rsidR="003B62BD" w:rsidRPr="0005336A" w:rsidRDefault="008E5837">
      <w:pPr>
        <w:spacing w:after="240" w:line="360" w:lineRule="auto"/>
        <w:jc w:val="center"/>
        <w:rPr>
          <w:rFonts w:ascii="Arial" w:hAnsi="Arial" w:cs="Arial"/>
        </w:rPr>
      </w:pPr>
      <w:r w:rsidRPr="0005336A">
        <w:rPr>
          <w:rFonts w:ascii="Arial" w:hAnsi="Arial" w:cs="Arial"/>
          <w:sz w:val="20"/>
          <w:szCs w:val="20"/>
        </w:rPr>
        <w:t>Fonte: CFC, 2023</w:t>
      </w:r>
    </w:p>
    <w:p w:rsidR="003B62BD" w:rsidRPr="0005336A" w:rsidRDefault="008E5837">
      <w:pPr>
        <w:spacing w:line="360" w:lineRule="auto"/>
        <w:ind w:firstLine="705"/>
        <w:jc w:val="both"/>
        <w:rPr>
          <w:rFonts w:ascii="Arial" w:hAnsi="Arial" w:cs="Arial"/>
        </w:rPr>
      </w:pPr>
      <w:r w:rsidRPr="0005336A">
        <w:rPr>
          <w:rFonts w:ascii="Arial" w:hAnsi="Arial" w:cs="Arial"/>
        </w:rPr>
        <w:t>No exemplo em comento, a Tabela 2 apresenta os valores projetados, considerando a nova legislação tributária. É importante destacar que, nesse cenário, a empresa optante pelo Simples Nacional escolheu apurar o CBS e o IBS fora do Simples. Tal decisão se deve à falta de informações precisas para estimar as alíquotas de IBS e CBS que serão adotadas dentro do Simples Nacional. (CFC, 2023)</w:t>
      </w:r>
    </w:p>
    <w:p w:rsidR="003B62BD" w:rsidRPr="0005336A" w:rsidRDefault="003B62BD">
      <w:pPr>
        <w:spacing w:line="360" w:lineRule="auto"/>
        <w:ind w:firstLine="705"/>
        <w:jc w:val="both"/>
        <w:rPr>
          <w:rFonts w:ascii="Arial" w:hAnsi="Arial" w:cs="Arial"/>
        </w:rPr>
      </w:pPr>
    </w:p>
    <w:p w:rsidR="003B62BD" w:rsidRPr="0005336A" w:rsidRDefault="008E5837">
      <w:pPr>
        <w:spacing w:line="360" w:lineRule="auto"/>
        <w:jc w:val="center"/>
        <w:rPr>
          <w:rFonts w:ascii="Arial" w:hAnsi="Arial" w:cs="Arial"/>
          <w:sz w:val="20"/>
          <w:szCs w:val="20"/>
        </w:rPr>
      </w:pPr>
      <w:r w:rsidRPr="0005336A">
        <w:rPr>
          <w:rFonts w:ascii="Arial" w:hAnsi="Arial" w:cs="Arial"/>
          <w:sz w:val="20"/>
          <w:szCs w:val="20"/>
        </w:rPr>
        <w:t>Tabela 2. Projeção da Apuração de Tributos, utilizando três potenciais alíquotas de IBS e CBS por fora do Regime Unificado</w:t>
      </w:r>
    </w:p>
    <w:p w:rsidR="003B62BD" w:rsidRDefault="008E5837">
      <w:pPr>
        <w:spacing w:line="360" w:lineRule="auto"/>
        <w:jc w:val="center"/>
        <w:rPr>
          <w:rFonts w:ascii="Arial" w:hAnsi="Arial" w:cs="Arial"/>
        </w:rPr>
      </w:pPr>
      <w:r>
        <w:rPr>
          <w:rFonts w:ascii="Arial" w:hAnsi="Arial" w:cs="Arial"/>
          <w:noProof/>
        </w:rPr>
        <w:drawing>
          <wp:inline distT="0" distB="0" distL="0" distR="0">
            <wp:extent cx="5760085" cy="2218690"/>
            <wp:effectExtent l="0" t="0" r="0" b="0"/>
            <wp:docPr id="1666802629"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802629" name="Imagem 1" descr="Tabela&#10;&#10;Descrição gerada automaticamente"/>
                    <pic:cNvPicPr>
                      <a:picLocks noChangeAspect="1"/>
                    </pic:cNvPicPr>
                  </pic:nvPicPr>
                  <pic:blipFill>
                    <a:blip r:embed="rId10"/>
                    <a:stretch>
                      <a:fillRect/>
                    </a:stretch>
                  </pic:blipFill>
                  <pic:spPr>
                    <a:xfrm>
                      <a:off x="0" y="0"/>
                      <a:ext cx="5760085" cy="2218690"/>
                    </a:xfrm>
                    <a:prstGeom prst="rect">
                      <a:avLst/>
                    </a:prstGeom>
                  </pic:spPr>
                </pic:pic>
              </a:graphicData>
            </a:graphic>
          </wp:inline>
        </w:drawing>
      </w:r>
    </w:p>
    <w:p w:rsidR="003B62BD" w:rsidRPr="0005336A" w:rsidRDefault="008E5837">
      <w:pPr>
        <w:spacing w:after="240" w:line="360" w:lineRule="auto"/>
        <w:jc w:val="center"/>
        <w:rPr>
          <w:rFonts w:ascii="Arial" w:hAnsi="Arial" w:cs="Arial"/>
          <w:sz w:val="20"/>
          <w:szCs w:val="20"/>
        </w:rPr>
      </w:pPr>
      <w:r w:rsidRPr="0005336A">
        <w:rPr>
          <w:rFonts w:ascii="Arial" w:hAnsi="Arial" w:cs="Arial"/>
          <w:sz w:val="20"/>
          <w:szCs w:val="20"/>
        </w:rPr>
        <w:t>Fonte: CFC, 2023</w:t>
      </w:r>
    </w:p>
    <w:p w:rsidR="003B62BD" w:rsidRDefault="008E5837">
      <w:pPr>
        <w:spacing w:after="240" w:line="360" w:lineRule="auto"/>
        <w:ind w:firstLine="708"/>
        <w:jc w:val="both"/>
        <w:rPr>
          <w:rFonts w:ascii="Arial" w:hAnsi="Arial" w:cs="Arial"/>
        </w:rPr>
      </w:pPr>
      <w:r>
        <w:rPr>
          <w:rFonts w:ascii="Arial" w:hAnsi="Arial" w:cs="Arial"/>
        </w:rPr>
        <w:lastRenderedPageBreak/>
        <w:t>Essas projeções visam ilustrar os possíveis efeitos da Reforma Tributária sobre as empresas contábeis optantes pelo Simples Nacional. Ressalta-se que os números tratados têm caráter meramente didático e se baseiam em estimativas feitas com base nas informações atualmente disponíveis. (CFC, 2023)</w:t>
      </w:r>
    </w:p>
    <w:p w:rsidR="003B62BD" w:rsidRDefault="008E5837">
      <w:pPr>
        <w:spacing w:after="240" w:line="360" w:lineRule="auto"/>
        <w:ind w:firstLine="705"/>
        <w:jc w:val="both"/>
        <w:rPr>
          <w:rFonts w:ascii="Arial" w:hAnsi="Arial" w:cs="Arial"/>
        </w:rPr>
      </w:pPr>
      <w:r>
        <w:rPr>
          <w:rFonts w:ascii="Arial" w:hAnsi="Arial" w:cs="Arial"/>
        </w:rPr>
        <w:t>Importante destacar que mudanças tão significativas podem inviabilizar a continuidade de milhares de empresas de serviços, já que o argumento de que o aumento da carga tributária deve ser repassado ao cliente final não se sustenta na realidade prática dos negócios. Essa negociação dificilmente resulta em efetivo repasse da carga e, na grande maioria dos casos, gera redução na margem de lucro das empresas. Como consequência, provavelmente, haverá o aumento da informalidade ou a redução significativa da geração de empregos. (CFC, 2023)</w:t>
      </w:r>
    </w:p>
    <w:p w:rsidR="003B62BD" w:rsidRDefault="008E5837">
      <w:pPr>
        <w:spacing w:after="120" w:line="360" w:lineRule="auto"/>
        <w:ind w:firstLine="705"/>
        <w:jc w:val="both"/>
        <w:textAlignment w:val="baseline"/>
        <w:rPr>
          <w:rFonts w:ascii="Arial" w:eastAsia="Times New Roman" w:hAnsi="Arial" w:cs="Arial"/>
        </w:rPr>
      </w:pPr>
      <w:r>
        <w:rPr>
          <w:rFonts w:ascii="Arial" w:eastAsia="Times New Roman" w:hAnsi="Arial" w:cs="Arial"/>
          <w:color w:val="FF0000"/>
        </w:rPr>
        <w:t> </w:t>
      </w:r>
      <w:r>
        <w:rPr>
          <w:rFonts w:ascii="Arial" w:eastAsia="Times New Roman" w:hAnsi="Arial" w:cs="Arial"/>
        </w:rPr>
        <w:t>Segundo Diogo Chamun (2024), as empresas do Simples Nacional terão que fazer uma opção. Se não aceirarem ao novo modelo, vão ter um crédito reduzido, que aumentaria bastante o tributo a pagar. Com isso, acaba forçando essas empresas a se adaptarem ao novo regime tributário. </w:t>
      </w:r>
    </w:p>
    <w:p w:rsidR="003B62BD" w:rsidRDefault="008E5837">
      <w:pPr>
        <w:spacing w:after="120" w:line="360" w:lineRule="auto"/>
        <w:ind w:firstLine="705"/>
        <w:jc w:val="both"/>
        <w:textAlignment w:val="baseline"/>
        <w:rPr>
          <w:rFonts w:ascii="Segoe UI" w:eastAsia="Times New Roman" w:hAnsi="Segoe UI" w:cs="Segoe UI"/>
          <w:sz w:val="18"/>
          <w:szCs w:val="18"/>
        </w:rPr>
      </w:pPr>
      <w:r>
        <w:rPr>
          <w:rFonts w:ascii="Arial" w:eastAsia="Times New Roman" w:hAnsi="Arial" w:cs="Arial"/>
        </w:rPr>
        <w:t>As assessorias contábeis terão grande responsabilidade no auxílio de decisões estratégicas que impactarão fortemente no futuro das empresas, até mesmo a continuidade do negócio, se não forem analisadas de forma mais acertada. Agora é o momento de capacitação e boas escolhas, porque é nas dificuldades que surgem as oportunidades. (CHAMUN, 2024) </w:t>
      </w:r>
    </w:p>
    <w:p w:rsidR="003B62BD" w:rsidRDefault="008E5837">
      <w:pPr>
        <w:spacing w:line="360" w:lineRule="auto"/>
        <w:ind w:firstLine="705"/>
        <w:jc w:val="both"/>
        <w:textAlignment w:val="baseline"/>
        <w:rPr>
          <w:rFonts w:ascii="Segoe UI" w:eastAsia="Times New Roman" w:hAnsi="Segoe UI" w:cs="Segoe UI"/>
          <w:sz w:val="18"/>
          <w:szCs w:val="18"/>
        </w:rPr>
      </w:pPr>
      <w:r>
        <w:rPr>
          <w:rFonts w:ascii="Arial" w:eastAsia="Times New Roman" w:hAnsi="Arial" w:cs="Arial"/>
        </w:rPr>
        <w:t>Os contadores terão um papel vital nas decisões estratégicas das empresas, exigindo capacitação e boas escolhas para enfrentar desafios e aproveitar oportunidades. </w:t>
      </w:r>
    </w:p>
    <w:p w:rsidR="003B62BD" w:rsidRDefault="003B62BD">
      <w:pPr>
        <w:spacing w:line="360" w:lineRule="auto"/>
        <w:ind w:firstLine="708"/>
        <w:jc w:val="both"/>
        <w:rPr>
          <w:rFonts w:ascii="Arial" w:eastAsia="Arial" w:hAnsi="Arial" w:cs="Arial"/>
        </w:rPr>
      </w:pPr>
    </w:p>
    <w:p w:rsidR="003B62BD" w:rsidRDefault="008E5837">
      <w:pPr>
        <w:spacing w:line="360" w:lineRule="auto"/>
        <w:jc w:val="both"/>
        <w:rPr>
          <w:rFonts w:ascii="Arial" w:eastAsia="Arial" w:hAnsi="Arial" w:cs="Arial"/>
          <w:color w:val="FF0000"/>
        </w:rPr>
      </w:pPr>
      <w:r>
        <w:rPr>
          <w:rFonts w:ascii="Arial" w:eastAsia="Arial" w:hAnsi="Arial" w:cs="Arial"/>
          <w:color w:val="FF0000"/>
        </w:rPr>
        <w:t>3.9 Reforma Tributária: Pesquisa sobre Opiniões dos Contadores</w:t>
      </w:r>
    </w:p>
    <w:p w:rsidR="003B62BD" w:rsidRDefault="008E5837">
      <w:pPr>
        <w:spacing w:before="240" w:after="240" w:line="360" w:lineRule="auto"/>
        <w:ind w:firstLine="708"/>
        <w:jc w:val="both"/>
        <w:rPr>
          <w:rFonts w:ascii="Arial" w:eastAsia="Arial" w:hAnsi="Arial" w:cs="Arial"/>
        </w:rPr>
      </w:pPr>
      <w:r>
        <w:rPr>
          <w:rFonts w:ascii="Arial" w:eastAsia="Arial" w:hAnsi="Arial" w:cs="Arial"/>
        </w:rPr>
        <w:t>A pedido do jornal Folha de S. Paulo, a IOB fez uma pesquisa nova chamada "A Opinião dos Contadores Brasileiros sobre a Reforma Tributária". Foram entrevistados 331 contadores entre 2 de março e 13 de maio, e a pesquisa traz as opiniões dos profissionais que vão ajudar as empresas a se adaptarem às mudanças fiscais com a chegada da Reforma Tributária. (IOB, 2024)</w:t>
      </w:r>
    </w:p>
    <w:p w:rsidR="003B62BD" w:rsidRDefault="008E5837">
      <w:pPr>
        <w:spacing w:before="240" w:after="240" w:line="360" w:lineRule="auto"/>
        <w:ind w:firstLine="708"/>
        <w:jc w:val="both"/>
        <w:rPr>
          <w:rFonts w:ascii="Arial" w:eastAsia="Arial" w:hAnsi="Arial" w:cs="Arial"/>
        </w:rPr>
      </w:pPr>
      <w:r>
        <w:rPr>
          <w:rFonts w:ascii="Arial" w:eastAsia="Arial" w:hAnsi="Arial" w:cs="Arial"/>
        </w:rPr>
        <w:lastRenderedPageBreak/>
        <w:t>A Reforma Tributária pode impactar os escritórios de contabilidade ao introduzir novas obrigações fiscais que ainda precisam ser regulamentadas, o que cria um cenário de incerteza para os profissionais da área. Segundo Sérgio Approbato, Diretor Estratégico da IOB, os contadores ainda têm dificuldades em prever como essas mudanças afetarão a prática contábil cotidiana, uma vez que muitas das obrigações exigem regulamentação adicional. Esse ambiente de indefinição torna mais desafiador o trabalho dos escritórios, que precisarão se adaptar às novas exigências conforme forem sendo implementadas e detalhadas pelas autoridades fiscais (APROBBATO, 2024).</w:t>
      </w:r>
    </w:p>
    <w:p w:rsidR="003B62BD" w:rsidRDefault="008E5837">
      <w:pPr>
        <w:spacing w:before="240" w:after="240" w:line="360" w:lineRule="auto"/>
        <w:ind w:firstLine="708"/>
        <w:jc w:val="both"/>
        <w:rPr>
          <w:rFonts w:ascii="Arial" w:eastAsia="Arial" w:hAnsi="Arial" w:cs="Arial"/>
        </w:rPr>
      </w:pPr>
      <w:r>
        <w:rPr>
          <w:rFonts w:ascii="Arial" w:eastAsia="Arial" w:hAnsi="Arial" w:cs="Arial"/>
        </w:rPr>
        <w:t>A pesquisa abordou diversos aspectos relacionados à Reforma Tributária e seus impactos nos escritórios de contabilidade. Entre os temas discutidos, estão o perfil dos contadores, o faturamento anual dos escritórios, e o tamanho das empresas contábeis. Também foram analisadas as opiniões dos contadores sobre a Reforma Tributária, incluindo sua concordância com as mudanças, como a introdução do CBS e IBS, e a redução de 60% nas alíquotas de bens e serviços. Outro ponto relevante foi a percepção sobre a redistribuição e a equidade na carga tributária, além das expectativas sobre a transparência e previsibilidade do novo sistema tributário. A pesquisa também investigou a visão dos contadores sobre o impacto da Reforma na arrecadação do governo, na demanda por serviços contábeis, no preço desses serviços, e a possível redução de alíquotas para a profissão intelectual.</w:t>
      </w:r>
    </w:p>
    <w:p w:rsidR="003B62BD" w:rsidRDefault="008E5837">
      <w:pPr>
        <w:spacing w:before="240" w:after="240" w:line="360" w:lineRule="auto"/>
        <w:ind w:firstLine="708"/>
        <w:jc w:val="both"/>
        <w:rPr>
          <w:rFonts w:ascii="Arial" w:eastAsia="Arial" w:hAnsi="Arial" w:cs="Arial"/>
        </w:rPr>
      </w:pPr>
      <w:r>
        <w:rPr>
          <w:rFonts w:ascii="Arial" w:eastAsia="Arial" w:hAnsi="Arial" w:cs="Arial"/>
        </w:rPr>
        <w:t>A maioria das pessoas entrevistadas são donos de escritórios ou gerentes. Além disso, a maior parte dos escritórios (45,9%) são Microempresas, que faturam até R$360 mil por ano. Também, 67,4% dos escritórios têm até 20 funcionários.</w:t>
      </w:r>
    </w:p>
    <w:p w:rsidR="003B62BD" w:rsidRDefault="008E5837">
      <w:pPr>
        <w:spacing w:after="240" w:line="360" w:lineRule="auto"/>
        <w:ind w:firstLine="708"/>
        <w:jc w:val="both"/>
        <w:rPr>
          <w:rFonts w:ascii="Arial" w:eastAsia="Arial" w:hAnsi="Arial" w:cs="Arial"/>
        </w:rPr>
      </w:pPr>
      <w:r>
        <w:rPr>
          <w:rFonts w:ascii="Arial" w:eastAsia="Arial" w:hAnsi="Arial" w:cs="Arial"/>
        </w:rPr>
        <w:t xml:space="preserve">As opiniões dos contadores são divididas: alguns acham que a simplificação dos tributos é positiva, enquanto outros são contrários, apontando a alta carga tributária e a chance de os tributos continuarem parecidos com os atuais, além de aumentar a complexidade do sistema tributário. </w:t>
      </w:r>
    </w:p>
    <w:p w:rsidR="003B62BD" w:rsidRDefault="008E5837">
      <w:pPr>
        <w:spacing w:after="240" w:line="360" w:lineRule="auto"/>
        <w:ind w:firstLine="708"/>
        <w:jc w:val="both"/>
        <w:rPr>
          <w:rFonts w:ascii="Arial" w:eastAsia="Arial" w:hAnsi="Arial" w:cs="Arial"/>
        </w:rPr>
      </w:pPr>
      <w:r>
        <w:rPr>
          <w:rFonts w:ascii="Arial" w:eastAsia="Arial" w:hAnsi="Arial" w:cs="Arial"/>
        </w:rPr>
        <w:t>A maioria deles concorda que a principal mudança vai ser a extinção de cinco tributos (IPI, PIS, COFINS, ICMS e ISS), que vão ser unidos em dois (CBS e IBS). Eles também acham injusto que as alíquotas sejam reduzidas a 60% para Bens e Serviços.</w:t>
      </w:r>
    </w:p>
    <w:p w:rsidR="003B62BD" w:rsidRDefault="008E5837">
      <w:pPr>
        <w:spacing w:after="240" w:line="360" w:lineRule="auto"/>
        <w:ind w:firstLine="708"/>
        <w:jc w:val="both"/>
        <w:rPr>
          <w:rFonts w:ascii="Arial" w:eastAsia="Arial" w:hAnsi="Arial" w:cs="Arial"/>
        </w:rPr>
      </w:pPr>
      <w:r>
        <w:rPr>
          <w:rFonts w:ascii="Arial" w:eastAsia="Arial" w:hAnsi="Arial" w:cs="Arial"/>
        </w:rPr>
        <w:lastRenderedPageBreak/>
        <w:t xml:space="preserve">Cerca de 74% dos entrevistados acreditam que a Reforma Tributária vai aumentar a arrecadação do Governo. </w:t>
      </w:r>
    </w:p>
    <w:p w:rsidR="003B62BD" w:rsidRDefault="008E5837">
      <w:pPr>
        <w:spacing w:after="240" w:line="360" w:lineRule="auto"/>
        <w:ind w:firstLine="708"/>
        <w:jc w:val="both"/>
        <w:rPr>
          <w:rFonts w:ascii="Arial" w:eastAsia="Arial" w:hAnsi="Arial" w:cs="Arial"/>
        </w:rPr>
      </w:pPr>
      <w:r>
        <w:rPr>
          <w:rFonts w:ascii="Arial" w:eastAsia="Arial" w:hAnsi="Arial" w:cs="Arial"/>
        </w:rPr>
        <w:t>A maioria dos contadores (59,5%) espera que haja mais demanda por serviços contábeis. Além disso, mais da metade (50,5%) concorda que devem se beneficiar com a lei complementar, que prevê a redução da carga tributária para profissionais intelectuais.</w:t>
      </w:r>
    </w:p>
    <w:p w:rsidR="003B62BD" w:rsidRDefault="008E5837">
      <w:pPr>
        <w:spacing w:after="240" w:line="360" w:lineRule="auto"/>
        <w:ind w:firstLine="708"/>
        <w:jc w:val="both"/>
        <w:rPr>
          <w:rFonts w:ascii="Arial" w:eastAsia="Arial" w:hAnsi="Arial" w:cs="Arial"/>
        </w:rPr>
      </w:pPr>
      <w:r>
        <w:rPr>
          <w:rFonts w:ascii="Arial" w:eastAsia="Arial" w:hAnsi="Arial" w:cs="Arial"/>
        </w:rPr>
        <w:t>Em suma, os contadores têm opiniões divididas sobre a Reforma Tributária, mas concordam que ela trará mudanças significativas, como a extinção de tributos e a criação de novos, o que pode aumentar a arrecadação e gerar mais demanda por serviços contábeis.</w:t>
      </w:r>
    </w:p>
    <w:p w:rsidR="003B62BD" w:rsidRDefault="008E5837">
      <w:pPr>
        <w:spacing w:after="240" w:line="360" w:lineRule="auto"/>
        <w:ind w:firstLine="708"/>
        <w:jc w:val="both"/>
        <w:rPr>
          <w:rFonts w:ascii="Arial" w:eastAsia="Arial" w:hAnsi="Arial" w:cs="Arial"/>
        </w:rPr>
      </w:pPr>
      <w:r>
        <w:rPr>
          <w:rFonts w:ascii="Arial" w:eastAsia="Arial" w:hAnsi="Arial" w:cs="Arial"/>
        </w:rPr>
        <w:t>De modo geral, a Reforma é considerada positiva e vai aumentar a demanda por serviços de consultoria dos contadores.</w:t>
      </w:r>
    </w:p>
    <w:p w:rsidR="003B62BD" w:rsidRDefault="008E5837">
      <w:pPr>
        <w:spacing w:line="360" w:lineRule="auto"/>
        <w:ind w:firstLine="708"/>
        <w:jc w:val="both"/>
        <w:rPr>
          <w:rFonts w:ascii="Arial" w:eastAsia="Arial" w:hAnsi="Arial" w:cs="Arial"/>
        </w:rPr>
      </w:pPr>
      <w:r>
        <w:rPr>
          <w:rFonts w:ascii="Arial" w:eastAsia="Arial" w:hAnsi="Arial" w:cs="Arial"/>
        </w:rPr>
        <w:t xml:space="preserve"> Com a simplificação dos tributos e das obrigações fiscais, espera-se que o papel do contador se torne mais estratégico. Assim, o contador vai ser o profissional mais valorizado do mercado quando a Reforma começar a valer. (IOB, 2024)</w:t>
      </w:r>
    </w:p>
    <w:p w:rsidR="003B62BD" w:rsidRDefault="003B62BD">
      <w:pPr>
        <w:spacing w:line="360" w:lineRule="auto"/>
        <w:ind w:firstLine="708"/>
        <w:jc w:val="both"/>
        <w:rPr>
          <w:rFonts w:ascii="Arial" w:eastAsia="Arial" w:hAnsi="Arial" w:cs="Arial"/>
          <w:color w:val="FF0000"/>
        </w:rPr>
      </w:pPr>
    </w:p>
    <w:p w:rsidR="003B62BD" w:rsidRDefault="008E5837">
      <w:pPr>
        <w:spacing w:after="240" w:line="360" w:lineRule="auto"/>
        <w:jc w:val="both"/>
        <w:rPr>
          <w:rFonts w:ascii="Arial" w:eastAsia="Arial" w:hAnsi="Arial" w:cs="Arial"/>
          <w:color w:val="FF0000"/>
        </w:rPr>
      </w:pPr>
      <w:r>
        <w:rPr>
          <w:rFonts w:ascii="Arial" w:eastAsia="Arial" w:hAnsi="Arial" w:cs="Arial"/>
          <w:color w:val="FF0000"/>
        </w:rPr>
        <w:t>3.10 Impactos na Profissão Contábil</w:t>
      </w:r>
    </w:p>
    <w:p w:rsidR="003B62BD" w:rsidRDefault="008E5837">
      <w:pPr>
        <w:spacing w:after="240" w:line="360" w:lineRule="auto"/>
        <w:jc w:val="both"/>
        <w:rPr>
          <w:rFonts w:ascii="Arial" w:hAnsi="Arial" w:cs="Arial"/>
        </w:rPr>
      </w:pPr>
      <w:r>
        <w:rPr>
          <w:rFonts w:ascii="Arial" w:eastAsia="Arial" w:hAnsi="Arial" w:cs="Arial"/>
        </w:rPr>
        <w:tab/>
      </w:r>
      <w:r>
        <w:rPr>
          <w:rFonts w:ascii="Arial" w:hAnsi="Arial" w:cs="Arial"/>
        </w:rPr>
        <w:t xml:space="preserve">Segundo o articulista do Portal Contábeis e advogado tributarista Ângelo Peccini Neto (2023), a reforma tributária, ao ser implementada, terá um impacto considerável sobre a profissão contábil, afetando de diversas maneiras a atuação dos profissionais da área, conforme publicado por Macario no site </w:t>
      </w:r>
      <w:r>
        <w:rPr>
          <w:rFonts w:ascii="Arial" w:hAnsi="Arial" w:cs="Arial"/>
          <w:i/>
          <w:iCs/>
        </w:rPr>
        <w:t>Contábeis</w:t>
      </w:r>
      <w:r>
        <w:rPr>
          <w:rFonts w:ascii="Arial" w:hAnsi="Arial" w:cs="Arial"/>
        </w:rPr>
        <w:t>.</w:t>
      </w:r>
    </w:p>
    <w:p w:rsidR="003B62BD" w:rsidRDefault="008E5837">
      <w:pPr>
        <w:spacing w:after="240" w:line="360" w:lineRule="auto"/>
        <w:ind w:firstLine="360"/>
        <w:jc w:val="both"/>
        <w:rPr>
          <w:rFonts w:ascii="Arial" w:hAnsi="Arial" w:cs="Arial"/>
        </w:rPr>
      </w:pPr>
      <w:r>
        <w:rPr>
          <w:rFonts w:ascii="Arial" w:hAnsi="Arial" w:cs="Arial"/>
        </w:rPr>
        <w:t>Com o objetivo de adaptar-se às novas exigências legais, os contadores precisarão revisar seus conhecimentos sobre as novas leis fiscais, regulamentos e regras tributárias. Eles precisarão estudar as mudanças, atualizar seu conhecimento e se manter atualizados para garantir que estejam cumprindo as obrigações fiscais dos seus clientes. (PECCINI NETO, 2023)</w:t>
      </w:r>
    </w:p>
    <w:p w:rsidR="003B62BD" w:rsidRDefault="008E5837">
      <w:pPr>
        <w:spacing w:after="240" w:line="360" w:lineRule="auto"/>
        <w:ind w:firstLine="360"/>
        <w:jc w:val="both"/>
        <w:rPr>
          <w:rFonts w:ascii="Arial" w:hAnsi="Arial" w:cs="Arial"/>
        </w:rPr>
      </w:pPr>
      <w:r>
        <w:rPr>
          <w:rFonts w:ascii="Arial" w:hAnsi="Arial" w:cs="Arial"/>
        </w:rPr>
        <w:t xml:space="preserve">Além disso, as reformas tributárias podem introduzir maior complexidade ao sistema tributário. Novas regras e regulamentos podem tornar o cumprimento das obrigações fiscais mais complicado. Isso exigirá que os contadores sejam mais </w:t>
      </w:r>
      <w:r>
        <w:rPr>
          <w:rFonts w:ascii="Arial" w:hAnsi="Arial" w:cs="Arial"/>
        </w:rPr>
        <w:lastRenderedPageBreak/>
        <w:t>diligentes em sua análise e interpretação das leis tributárias, a fim de garantir a conformidade adequada. (PECCINI NETO, 2023)</w:t>
      </w:r>
    </w:p>
    <w:p w:rsidR="003B62BD" w:rsidRDefault="008E5837">
      <w:pPr>
        <w:spacing w:after="240" w:line="360" w:lineRule="auto"/>
        <w:ind w:firstLine="360"/>
        <w:jc w:val="both"/>
        <w:rPr>
          <w:rFonts w:ascii="Arial" w:hAnsi="Arial" w:cs="Arial"/>
        </w:rPr>
      </w:pPr>
      <w:r>
        <w:rPr>
          <w:rFonts w:ascii="Arial" w:hAnsi="Arial" w:cs="Arial"/>
        </w:rPr>
        <w:t>Com a reforma tributária, podem surgir novas oportunidades e estratégias de planejamento tributário. Os contadores precisarão entender as implicações das mudanças nas leis fiscais e orientar seus clientes sobre como otimizar sua situação tributária. Isso exigirá conhecimentos avançados em planejamento tributário e habilidades analíticas para identificar as melhores opções para cada cliente. (PECCINI NETO, 2023)</w:t>
      </w:r>
    </w:p>
    <w:p w:rsidR="003B62BD" w:rsidRDefault="008E5837">
      <w:pPr>
        <w:spacing w:after="240" w:line="360" w:lineRule="auto"/>
        <w:ind w:firstLine="360"/>
        <w:jc w:val="both"/>
        <w:rPr>
          <w:rFonts w:ascii="Arial" w:hAnsi="Arial" w:cs="Arial"/>
        </w:rPr>
      </w:pPr>
      <w:r>
        <w:rPr>
          <w:rFonts w:ascii="Arial" w:hAnsi="Arial" w:cs="Arial"/>
        </w:rPr>
        <w:t>A reforma tributária também pode exigir que os contadores revisem e atualizem seus processos internos e sistemas de contabilidade. As mudanças nas leis fiscais podem afetar a forma como os registros financeiros são mantidos, os relatórios são gerados e os impostos são calculados. Os profissionais contábeis precisarão garantir que estejam usando sistemas e software atualizados que estejam em conformidade com as mudanças legislativas. (PECCINI NETO, 2023)</w:t>
      </w:r>
    </w:p>
    <w:p w:rsidR="003B62BD" w:rsidRDefault="008E5837">
      <w:pPr>
        <w:spacing w:after="240" w:line="360" w:lineRule="auto"/>
        <w:ind w:firstLine="360"/>
        <w:jc w:val="both"/>
        <w:rPr>
          <w:rFonts w:ascii="Arial" w:hAnsi="Arial" w:cs="Arial"/>
        </w:rPr>
      </w:pPr>
      <w:r>
        <w:rPr>
          <w:rFonts w:ascii="Arial" w:hAnsi="Arial" w:cs="Arial"/>
        </w:rPr>
        <w:t>Ademais, dependendo da natureza da reforma tributária, pode haver uma demanda maior por contadores especializados em determinadas áreas fiscais. Por exemplo, se a reforma tributária introduzir incentivos fiscais para setores específicos, os contadores que possuem conhecimento e experiência nessas áreas poderão estar em alta demanda. (PECCINI NETO, 2023)</w:t>
      </w:r>
    </w:p>
    <w:p w:rsidR="003B62BD" w:rsidRDefault="008E5837">
      <w:pPr>
        <w:spacing w:after="240" w:line="360" w:lineRule="auto"/>
        <w:ind w:firstLine="360"/>
        <w:jc w:val="both"/>
        <w:rPr>
          <w:rFonts w:ascii="Arial" w:hAnsi="Arial" w:cs="Arial"/>
        </w:rPr>
      </w:pPr>
      <w:r>
        <w:rPr>
          <w:rFonts w:ascii="Arial" w:hAnsi="Arial" w:cs="Arial"/>
        </w:rPr>
        <w:t>Entre as vantagens trazidas pela reforma tributária para os profissionais contábeis, destaca-se o aumento na demanda por serviços especializados, à medida que as empresas buscam orientação especializada para entender e cumprir as novas leis fiscais. Os contadores podem se beneficiar dessa demanda adicional de trabalho e expandir seus negócios. (PECCINI NETO, 2023)</w:t>
      </w:r>
    </w:p>
    <w:p w:rsidR="003B62BD" w:rsidRDefault="008E5837">
      <w:pPr>
        <w:spacing w:after="240" w:line="360" w:lineRule="auto"/>
        <w:ind w:firstLine="360"/>
        <w:jc w:val="both"/>
        <w:rPr>
          <w:rFonts w:ascii="Arial" w:hAnsi="Arial" w:cs="Arial"/>
        </w:rPr>
      </w:pPr>
      <w:r>
        <w:rPr>
          <w:rFonts w:ascii="Arial" w:hAnsi="Arial" w:cs="Arial"/>
        </w:rPr>
        <w:t>As mudanças na legislação tributária podem abrir oportunidades para o planejamento tributário estratégico. Os contadores podem ajudar seus clientes a identificarem opções legais de redução de impostos, estruturar seus negócios de maneira mais eficiente e otimizar sua carga tributária. (PECCINI NETO, 2023)</w:t>
      </w:r>
    </w:p>
    <w:p w:rsidR="003B62BD" w:rsidRDefault="008E5837">
      <w:pPr>
        <w:spacing w:after="240" w:line="360" w:lineRule="auto"/>
        <w:ind w:firstLine="360"/>
        <w:jc w:val="both"/>
        <w:rPr>
          <w:rFonts w:ascii="Arial" w:hAnsi="Arial" w:cs="Arial"/>
        </w:rPr>
      </w:pPr>
      <w:r>
        <w:rPr>
          <w:rFonts w:ascii="Arial" w:hAnsi="Arial" w:cs="Arial"/>
        </w:rPr>
        <w:lastRenderedPageBreak/>
        <w:t>Com a reforma tributária, os contadores que estão atualizados e bem-informados sobre as mudanças na legislação fiscal podem se tornar ativos valiosos para suas empresas ou clientes. Essa expertise pode resultar em uma maior valorização profissional e até mesmo em oportunidades de carreira mais promissoras. (PECCINI NETO, 2023)</w:t>
      </w:r>
    </w:p>
    <w:p w:rsidR="003B62BD" w:rsidRDefault="008E5837">
      <w:pPr>
        <w:spacing w:after="160" w:line="360" w:lineRule="auto"/>
        <w:ind w:firstLine="708"/>
        <w:jc w:val="both"/>
        <w:rPr>
          <w:rFonts w:ascii="Arial" w:hAnsi="Arial" w:cs="Arial"/>
        </w:rPr>
      </w:pPr>
      <w:r>
        <w:rPr>
          <w:rFonts w:ascii="Arial" w:hAnsi="Arial" w:cs="Arial"/>
        </w:rPr>
        <w:t>No entanto, as desvantagens incluem a complexidade e incerteza geradas pelas constantes mudanças nas leis fiscais, o que pode tornar o trabalho mais difícil e demandar mais tempo e esforço para que os contadores compreendam e apliquem as novas regras. Além do mais, o período mais difícil será o de transição, atuando em dois sistemas distintos. Isso significa que eles terão que investir tempo e recursos adicionais em treinamento e educação continuada para garantir que estejam preparados para lidar com as alterações e cumprir adequadamente suas responsabilidades profissionais. (PECCINI NETO, 2023)</w:t>
      </w:r>
    </w:p>
    <w:p w:rsidR="003B62BD" w:rsidRDefault="008E5837">
      <w:pPr>
        <w:spacing w:after="160" w:line="360" w:lineRule="auto"/>
        <w:ind w:firstLine="708"/>
        <w:jc w:val="both"/>
        <w:rPr>
          <w:rFonts w:ascii="Arial" w:hAnsi="Arial" w:cs="Arial"/>
        </w:rPr>
      </w:pPr>
      <w:r>
        <w:rPr>
          <w:rFonts w:ascii="Arial" w:hAnsi="Arial" w:cs="Arial"/>
        </w:rPr>
        <w:t>Embora a reforma tributária possa aumentar a demanda por serviços contábeis, também pode resultar em uma carga de trabalho adicional para os contadores. Eles podem ter que lidar com mais clientes, mais complexidade e prazos mais curtos, o que pode levar a um aumento no estresse e na pressão profissional. (PECCINI NETO, 2023)</w:t>
      </w:r>
    </w:p>
    <w:p w:rsidR="003B62BD" w:rsidRDefault="008E5837">
      <w:pPr>
        <w:spacing w:after="160" w:line="360" w:lineRule="auto"/>
        <w:ind w:firstLine="360"/>
        <w:jc w:val="both"/>
        <w:rPr>
          <w:rFonts w:ascii="Arial" w:hAnsi="Arial" w:cs="Arial"/>
        </w:rPr>
      </w:pPr>
      <w:r>
        <w:rPr>
          <w:rFonts w:ascii="Arial" w:hAnsi="Arial" w:cs="Arial"/>
        </w:rPr>
        <w:t>Por outro lado, os contadores também poderão tirar proveito da reforma tributária ao expandir seus serviços, oferecendo consultoria especializada e ajudando seus clientes a otimizarem sua situação tributária. Com as alterações, surgem novas oportunidades de planejamento tributário estratégico. Os contadores podem aproveitar essa situação para ajudar seus clientes a otimizarem sua carga tributária por meio de estratégias legais e planejamento cuidadoso. Isso pode resultar em economias significativas de impostos para os clientes e, ao mesmo tempo, fortalecer a relação de confiança entre o contador e o cliente. (PECCINI NETO, 2023)</w:t>
      </w:r>
    </w:p>
    <w:p w:rsidR="003B62BD" w:rsidRDefault="008E5837">
      <w:pPr>
        <w:spacing w:after="160" w:line="360" w:lineRule="auto"/>
        <w:ind w:firstLine="360"/>
        <w:jc w:val="both"/>
        <w:rPr>
          <w:rFonts w:ascii="Arial" w:hAnsi="Arial" w:cs="Arial"/>
        </w:rPr>
      </w:pPr>
      <w:r>
        <w:rPr>
          <w:rFonts w:ascii="Arial" w:hAnsi="Arial" w:cs="Arial"/>
        </w:rPr>
        <w:t xml:space="preserve">Ademais, a reforma tributária pode gerar dúvidas e incertezas para os contribuintes. Os contadores que dominam as mudanças na legislação tributária podem oferecer serviços de consultoria especializada para ajudar os clientes a entenderem as implicações e tomar decisões informadas. Essa consultoria pode incluir a análise de diferentes cenários, a identificação de incentivos fiscais disponíveis </w:t>
      </w:r>
      <w:r>
        <w:rPr>
          <w:rFonts w:ascii="Arial" w:hAnsi="Arial" w:cs="Arial"/>
        </w:rPr>
        <w:lastRenderedPageBreak/>
        <w:t>e a orientação sobre as melhores práticas para cumprir as obrigações fiscais. (PECCINI NETO, 2023)</w:t>
      </w:r>
    </w:p>
    <w:p w:rsidR="003B62BD" w:rsidRDefault="008E5837">
      <w:pPr>
        <w:spacing w:after="160" w:line="360" w:lineRule="auto"/>
        <w:ind w:firstLine="360"/>
        <w:jc w:val="both"/>
        <w:rPr>
          <w:rFonts w:ascii="Arial" w:hAnsi="Arial" w:cs="Arial"/>
        </w:rPr>
      </w:pPr>
      <w:r>
        <w:rPr>
          <w:rFonts w:ascii="Arial" w:hAnsi="Arial" w:cs="Arial"/>
        </w:rPr>
        <w:t>Os contadores podem criar oportunidades de estabelecer parcerias estratégicas com outros profissionais ou especialistas em áreas afins. Por exemplo, eles podem colaborar com advogados tributaristas, consultores financeiros ou especialistas em tecnologia para oferecer soluções abrangentes aos clientes e abordar os desafios específicos da reforma tributária. (PECCINI NETO, 2023)</w:t>
      </w:r>
    </w:p>
    <w:p w:rsidR="003B62BD" w:rsidRDefault="008E5837">
      <w:pPr>
        <w:spacing w:after="160" w:line="360" w:lineRule="auto"/>
        <w:ind w:firstLine="360"/>
        <w:jc w:val="both"/>
        <w:rPr>
          <w:rFonts w:ascii="Arial" w:hAnsi="Arial" w:cs="Arial"/>
        </w:rPr>
      </w:pPr>
      <w:r>
        <w:rPr>
          <w:rFonts w:ascii="Arial" w:hAnsi="Arial" w:cs="Arial"/>
        </w:rPr>
        <w:t>A reforma também pode impulsionar a necessidade de automatização e tecnologia nos serviços contábeis. Os contadores podem aproveitar essa oportunidade para implementar ferramentas digitais e soluções tecnológicas em seus processos contábeis. Isso pode aumentar a eficiência, reduzir erros e permitir que eles lidem com a complexidade das mudanças fiscais de forma mais eficaz. (PECCINI NETO, 2023)</w:t>
      </w:r>
    </w:p>
    <w:p w:rsidR="003B62BD" w:rsidRDefault="008E5837">
      <w:pPr>
        <w:spacing w:after="160" w:line="360" w:lineRule="auto"/>
        <w:ind w:firstLine="360"/>
        <w:jc w:val="both"/>
        <w:rPr>
          <w:rFonts w:ascii="Arial" w:hAnsi="Arial" w:cs="Arial"/>
        </w:rPr>
      </w:pPr>
      <w:r>
        <w:rPr>
          <w:rFonts w:ascii="Arial" w:hAnsi="Arial" w:cs="Arial"/>
        </w:rPr>
        <w:t>Além disso, ser uma oportunidade para os contadores expandirem sua rede profissional e estabelecerem parcerias estratégicas. Eles podem participar de eventos, conferências e associações relacionadas à reforma tributária para se conectar com outros profissionais contábeis, advogados fiscais e especialistas em negócios. Essas conexões podem levar a colaborações, referências de clientes e compartilhamento de conhecimentos para enfrentar os desafios e aproveitar as oportunidades trazidas pela reforma tributária. (PECCINI NETO, 2023)</w:t>
      </w:r>
    </w:p>
    <w:p w:rsidR="003B62BD" w:rsidRDefault="008E5837">
      <w:pPr>
        <w:spacing w:after="160" w:line="360" w:lineRule="auto"/>
        <w:jc w:val="both"/>
        <w:rPr>
          <w:rFonts w:ascii="Arial" w:hAnsi="Arial" w:cs="Arial"/>
          <w:b/>
          <w:bCs/>
          <w:color w:val="FF0000"/>
          <w:sz w:val="20"/>
          <w:szCs w:val="20"/>
        </w:rPr>
      </w:pPr>
      <w:r>
        <w:rPr>
          <w:rFonts w:ascii="Arial" w:hAnsi="Arial" w:cs="Arial"/>
          <w:b/>
          <w:bCs/>
          <w:color w:val="FF0000"/>
          <w:sz w:val="20"/>
          <w:szCs w:val="20"/>
        </w:rPr>
        <w:t>Quadro 1: Oportunidades para os Contadores</w:t>
      </w:r>
    </w:p>
    <w:p w:rsidR="003B62BD" w:rsidRDefault="008E5837">
      <w:pPr>
        <w:spacing w:after="160" w:line="360" w:lineRule="auto"/>
        <w:jc w:val="both"/>
        <w:rPr>
          <w:rFonts w:ascii="Arial" w:hAnsi="Arial" w:cs="Arial"/>
          <w:b/>
          <w:bCs/>
          <w:color w:val="FF0000"/>
          <w:sz w:val="20"/>
          <w:szCs w:val="20"/>
        </w:rPr>
      </w:pPr>
      <w:r>
        <w:rPr>
          <w:rFonts w:ascii="Arial" w:hAnsi="Arial" w:cs="Arial"/>
          <w:b/>
          <w:bCs/>
          <w:noProof/>
          <w:color w:val="FF0000"/>
          <w:sz w:val="20"/>
          <w:szCs w:val="20"/>
        </w:rPr>
        <w:lastRenderedPageBreak/>
        <w:drawing>
          <wp:inline distT="0" distB="0" distL="0" distR="0">
            <wp:extent cx="5760085" cy="3254375"/>
            <wp:effectExtent l="0" t="0" r="0" b="3175"/>
            <wp:docPr id="598506977"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506977" name="Imagem 1" descr="Tabela&#10;&#10;Descrição gerada automaticamente"/>
                    <pic:cNvPicPr>
                      <a:picLocks noChangeAspect="1"/>
                    </pic:cNvPicPr>
                  </pic:nvPicPr>
                  <pic:blipFill>
                    <a:blip r:embed="rId11"/>
                    <a:stretch>
                      <a:fillRect/>
                    </a:stretch>
                  </pic:blipFill>
                  <pic:spPr>
                    <a:xfrm>
                      <a:off x="0" y="0"/>
                      <a:ext cx="5760085" cy="3254375"/>
                    </a:xfrm>
                    <a:prstGeom prst="rect">
                      <a:avLst/>
                    </a:prstGeom>
                  </pic:spPr>
                </pic:pic>
              </a:graphicData>
            </a:graphic>
          </wp:inline>
        </w:drawing>
      </w:r>
    </w:p>
    <w:p w:rsidR="003B62BD" w:rsidRDefault="003B62BD">
      <w:pPr>
        <w:spacing w:after="160" w:line="360" w:lineRule="auto"/>
        <w:jc w:val="both"/>
        <w:rPr>
          <w:rFonts w:ascii="Arial" w:hAnsi="Arial" w:cs="Arial"/>
          <w:b/>
          <w:bCs/>
          <w:color w:val="FF0000"/>
          <w:sz w:val="20"/>
          <w:szCs w:val="20"/>
        </w:rPr>
      </w:pPr>
    </w:p>
    <w:p w:rsidR="003B62BD" w:rsidRDefault="008E5837">
      <w:pPr>
        <w:spacing w:after="160" w:line="360" w:lineRule="auto"/>
        <w:jc w:val="both"/>
        <w:rPr>
          <w:rFonts w:ascii="Arial" w:hAnsi="Arial" w:cs="Arial"/>
          <w:b/>
          <w:bCs/>
        </w:rPr>
      </w:pPr>
      <w:r>
        <w:rPr>
          <w:rFonts w:ascii="Arial" w:hAnsi="Arial" w:cs="Arial"/>
          <w:b/>
          <w:bCs/>
        </w:rPr>
        <w:t>4 CONCLUSÃO</w:t>
      </w:r>
    </w:p>
    <w:p w:rsidR="003B62BD" w:rsidRDefault="008E5837">
      <w:pPr>
        <w:spacing w:after="160" w:line="360" w:lineRule="auto"/>
        <w:ind w:firstLine="708"/>
        <w:jc w:val="both"/>
        <w:rPr>
          <w:rFonts w:ascii="Arial" w:hAnsi="Arial" w:cs="Arial"/>
        </w:rPr>
      </w:pPr>
      <w:r>
        <w:rPr>
          <w:rFonts w:ascii="Arial" w:hAnsi="Arial" w:cs="Arial"/>
        </w:rPr>
        <w:t>A Reforma Tributária, promovida pela aprovação da Emenda Constitucional (EC) 132, de 2023, representa um marco importante no processo de transformação do sistema tributário nacional. A análise dos textos e dos impactos dessa reforma revela um cenário de grande expectativa quanto às mudanças que afetarão diretamente os profissionais da contabilidade, especialmente no que diz respeito à adaptação dos sistemas contábeis, à apuração de tributos e à comunicação transparente com os órgãos reguladores. Os profissionais contábeis terão de lidar com o aumento da carga tributária, principalmente para as empresas prestadoras de serviços contábeis, além de enfrentarem diversas questões ainda não esclarecidas que precisam ser regulamentadas pelas leis complementares, como o fim de impostos seletivos, a isenção da cesta básica e a criação de novos fundos.</w:t>
      </w:r>
    </w:p>
    <w:p w:rsidR="003B62BD" w:rsidRDefault="008E5837">
      <w:pPr>
        <w:spacing w:after="160" w:line="360" w:lineRule="auto"/>
        <w:ind w:firstLine="708"/>
        <w:jc w:val="both"/>
        <w:rPr>
          <w:rFonts w:ascii="Arial" w:hAnsi="Arial" w:cs="Arial"/>
        </w:rPr>
      </w:pPr>
      <w:r>
        <w:rPr>
          <w:rFonts w:ascii="Arial" w:hAnsi="Arial" w:cs="Arial"/>
        </w:rPr>
        <w:t xml:space="preserve">A transição exigirá esforços consideráveis, tanto no curto quanto no longo prazo. Em um primeiro momento, será necessário realizar atualizações nos sistemas contábeis, garantindo a conformidade com as novas exigências e regulamentações. No longo prazo, espera-se que os sistemas contábeis passem por uma reformulação mais profunda, incorporando tecnologias avançadas, como automação e inteligência artificial, com o objetivo de otimizar os processos tributários e aumentar a eficiência </w:t>
      </w:r>
      <w:r>
        <w:rPr>
          <w:rFonts w:ascii="Arial" w:hAnsi="Arial" w:cs="Arial"/>
        </w:rPr>
        <w:lastRenderedPageBreak/>
        <w:t>na gestão fiscal. Essa mudança exigirá um investimento contínuo na educação e capacitação dos profissionais de contabilidade, para que estes possam acompanhar as complexidades e novidades trazidas pela reforma.</w:t>
      </w:r>
    </w:p>
    <w:p w:rsidR="003B62BD" w:rsidRDefault="008E5837">
      <w:pPr>
        <w:spacing w:after="160" w:line="360" w:lineRule="auto"/>
        <w:ind w:firstLine="708"/>
        <w:jc w:val="both"/>
        <w:rPr>
          <w:rFonts w:ascii="Arial" w:hAnsi="Arial" w:cs="Arial"/>
        </w:rPr>
      </w:pPr>
      <w:r>
        <w:rPr>
          <w:rFonts w:ascii="Arial" w:hAnsi="Arial" w:cs="Arial"/>
        </w:rPr>
        <w:t>Além disso, o debate sobre as incertezas da reforma deve ser mantido, visto que questões fundamentais ainda precisam ser resolvidas, como a harmonização das alíquotas e a distribuição dos recursos entre os estados, principalmente para aqueles com menor população. O compromisso com a educação continuada será essencial para que os contadores possam se adaptar rapidamente às transformações, oferecendo soluções eficientes para seus clientes e contribuindo para a consolidação de um sistema tributário mais justo e eficiente.</w:t>
      </w:r>
    </w:p>
    <w:p w:rsidR="003B62BD" w:rsidRDefault="008E5837">
      <w:pPr>
        <w:spacing w:after="160" w:line="360" w:lineRule="auto"/>
        <w:ind w:firstLine="708"/>
        <w:jc w:val="both"/>
        <w:rPr>
          <w:rFonts w:ascii="Arial" w:hAnsi="Arial" w:cs="Arial"/>
        </w:rPr>
      </w:pPr>
      <w:r>
        <w:rPr>
          <w:rFonts w:ascii="Arial" w:hAnsi="Arial" w:cs="Arial"/>
        </w:rPr>
        <w:t>Dessa forma, o sucesso da reforma tributária dependerá não apenas da clareza e da regulamentação das novas leis, mas também da capacidade dos profissionais da contabilidade de se atualizarem e se prepararem para um cenário de constante mudança. A evolução do sistema tributário e o fortalecimento da profissão contábil estão diretamente relacionados à capacidade dos contadores de inovar, ajustar seus processos e colaborar com a implementação das novas diretrizes, contribuindo para o desenvolvimento sustentável da economia brasileira.</w:t>
      </w:r>
      <w:r>
        <w:rPr>
          <w:rFonts w:ascii="Arial" w:hAnsi="Arial" w:cs="Arial"/>
        </w:rPr>
        <w:br w:type="page"/>
      </w:r>
    </w:p>
    <w:p w:rsidR="003B62BD" w:rsidRDefault="008E5837">
      <w:pPr>
        <w:spacing w:after="240" w:line="360" w:lineRule="auto"/>
        <w:rPr>
          <w:rFonts w:ascii="Arial" w:hAnsi="Arial" w:cs="Arial"/>
          <w:b/>
          <w:bCs/>
        </w:rPr>
      </w:pPr>
      <w:r>
        <w:rPr>
          <w:rFonts w:ascii="Arial" w:hAnsi="Arial" w:cs="Arial"/>
          <w:b/>
          <w:bCs/>
        </w:rPr>
        <w:lastRenderedPageBreak/>
        <w:t>REFERÊNCIA BIBLIOGRÁFICA</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AGÊNCIA APEX. Profissional da contabilidade fortalece empresas, transforma vidas e faz o país crescer. Disponível em: https://cfc.org.br/noticias/profissional-da-contabilidade-fortalece-empresas-transforma-vidas-e-faz-o-pais-crescer/. Acesso em: 22 nov. 2024.</w:t>
      </w:r>
    </w:p>
    <w:p w:rsidR="003B62BD" w:rsidRDefault="008E5837">
      <w:pPr>
        <w:widowControl w:val="0"/>
        <w:tabs>
          <w:tab w:val="left" w:pos="220"/>
        </w:tabs>
        <w:spacing w:line="360" w:lineRule="auto"/>
        <w:jc w:val="both"/>
        <w:rPr>
          <w:rFonts w:ascii="Arial" w:hAnsi="Arial" w:cs="Arial"/>
          <w:color w:val="FF0000"/>
        </w:rPr>
      </w:pPr>
      <w:r>
        <w:rPr>
          <w:rStyle w:val="Forte"/>
          <w:rFonts w:ascii="Arial" w:eastAsia="SimSun" w:hAnsi="Arial" w:cs="Arial"/>
          <w:b w:val="0"/>
          <w:bCs w:val="0"/>
          <w:color w:val="FF0000"/>
        </w:rPr>
        <w:t>AGÊNCIA SENADO.</w:t>
      </w:r>
      <w:r>
        <w:rPr>
          <w:rFonts w:ascii="Arial" w:eastAsia="SimSun" w:hAnsi="Arial" w:cs="Arial"/>
          <w:color w:val="FF0000"/>
        </w:rPr>
        <w:t xml:space="preserve"> Reforma tributária: Brasil terá modelo dual de IVA. Disponível em: https://www12.senado.leg.br/noticias. Acesso em: 9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AQUINO, Mariah; BORGES, Rebeca; SANTOS, Daniela. Reforma tributária levou 30 anos para ser aprovada; saiba por quê. </w:t>
      </w:r>
      <w:r>
        <w:rPr>
          <w:rFonts w:ascii="Arial" w:hAnsi="Arial" w:cs="Arial"/>
          <w:i/>
          <w:iCs/>
          <w:color w:val="FF0000"/>
        </w:rPr>
        <w:t>Metrópoles</w:t>
      </w:r>
      <w:r>
        <w:rPr>
          <w:rFonts w:ascii="Arial" w:hAnsi="Arial" w:cs="Arial"/>
          <w:color w:val="FF0000"/>
        </w:rPr>
        <w:t>, 2024. Disponível em: https://www.metropoles.com/brasil/reforma-tributaria-levou-30-anos-para-ser-aprovada-saiba-por-que. Acesso em: 22 nov.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BARROSO, Rafael R. A Reforma Tributária e seus Impactos no Desenvolvimento Econômico. 2024. Disponível em: https://www.jusbrasil.com.br/artigos/a-reforma-tributaria-e-seus-impactos-no-desenvolvimento-economico/2537224538. Acesso em: 11 out. 2024.</w:t>
      </w:r>
    </w:p>
    <w:p w:rsidR="003B62BD" w:rsidRDefault="008E5837">
      <w:pPr>
        <w:widowControl w:val="0"/>
        <w:tabs>
          <w:tab w:val="left" w:pos="220"/>
        </w:tabs>
        <w:spacing w:line="360" w:lineRule="auto"/>
        <w:jc w:val="both"/>
        <w:rPr>
          <w:rFonts w:ascii="Arial" w:hAnsi="Arial" w:cs="Arial"/>
          <w:color w:val="FF0000"/>
        </w:rPr>
      </w:pPr>
      <w:r>
        <w:rPr>
          <w:rStyle w:val="Forte"/>
          <w:rFonts w:ascii="Arial" w:eastAsia="SimSun" w:hAnsi="Arial" w:cs="Arial"/>
          <w:b w:val="0"/>
          <w:bCs w:val="0"/>
          <w:color w:val="FF0000"/>
        </w:rPr>
        <w:t>BRASIL.</w:t>
      </w:r>
      <w:r>
        <w:rPr>
          <w:rFonts w:ascii="Arial" w:eastAsia="SimSun" w:hAnsi="Arial" w:cs="Arial"/>
          <w:color w:val="FF0000"/>
        </w:rPr>
        <w:t xml:space="preserve"> Câmara dos Deputados. Sistema Tributário Nacional: texto-base da Consultoria Legislativa. Disponível em: https://www2.camara.leg.br/atividade-legislativa/estudos-e-notas-tecnicas/fiquePorDentro/temas/sistema-tributario-nacional-jun-2019/texto-base-da-consultoria-legislativa. Acesso em: 9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BRASIL. Emenda Constitucional Nº 132, de 20 de dezembro de 2023. Disponível em: https://www.planalto.gov.br/ccivil_03/constituicao/Emendas/Emc/emc132.htm.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BRASIL. Lei nº 9.393, de 19 de dezembro de 1996. Altera a legislação do Imposto sobre a Propriedade de Veículos Automotores (IPVA) e dá outras providências. </w:t>
      </w:r>
    </w:p>
    <w:p w:rsidR="003B62BD" w:rsidRDefault="008E5837">
      <w:pPr>
        <w:widowControl w:val="0"/>
        <w:tabs>
          <w:tab w:val="left" w:pos="220"/>
        </w:tabs>
        <w:spacing w:line="360" w:lineRule="auto"/>
        <w:jc w:val="both"/>
        <w:rPr>
          <w:rFonts w:ascii="Arial" w:eastAsia="SimSun" w:hAnsi="Arial" w:cs="Arial"/>
          <w:color w:val="FF0000"/>
        </w:rPr>
      </w:pPr>
      <w:r>
        <w:rPr>
          <w:rFonts w:ascii="Arial" w:eastAsia="SimSun" w:hAnsi="Arial" w:cs="Arial"/>
          <w:color w:val="FF0000"/>
        </w:rPr>
        <w:t xml:space="preserve">BRASIL. Ministério da Fazenda. </w:t>
      </w:r>
      <w:r>
        <w:rPr>
          <w:rStyle w:val="nfase"/>
          <w:rFonts w:ascii="Arial" w:eastAsia="SimSun" w:hAnsi="Arial" w:cs="Arial"/>
          <w:color w:val="FF0000"/>
        </w:rPr>
        <w:t>Perguntas e respostas sobre a Reforma Tributária Brasileira</w:t>
      </w:r>
      <w:r>
        <w:rPr>
          <w:rFonts w:ascii="Arial" w:eastAsia="SimSun" w:hAnsi="Arial" w:cs="Arial"/>
          <w:color w:val="FF0000"/>
        </w:rPr>
        <w:t>. Disponível em: https://www.gov.br/fazenda/pt-br. Acesso em: 9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i/>
          <w:iCs/>
          <w:color w:val="FF0000"/>
        </w:rPr>
        <w:t>Diário Oficial da União</w:t>
      </w:r>
      <w:r>
        <w:rPr>
          <w:rFonts w:ascii="Arial" w:hAnsi="Arial" w:cs="Arial"/>
          <w:color w:val="FF0000"/>
        </w:rPr>
        <w:t>, Brasília, 19 dez. 1996. Disponível em: http://www.planalto.gov.br/. Acesso em: 1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BRASIL. Secretaria de Comunicação Social. Reforma Tributária é Aprovada pela Câmara dos Deputados. 2023. Disponível em: https://www.gov.br/secom/pt-br/assuntos/noticias/2023/12/reforma-tributaria-e-aprovada-pela-camara-dos-deputados.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lastRenderedPageBreak/>
        <w:t xml:space="preserve">CHAMUN, Diogo. O papel dos contadores na reforma tributária: desafios e oportunidades. </w:t>
      </w:r>
      <w:r>
        <w:rPr>
          <w:rFonts w:ascii="Arial" w:hAnsi="Arial" w:cs="Arial"/>
          <w:i/>
          <w:iCs/>
          <w:color w:val="FF0000"/>
        </w:rPr>
        <w:t>Fenacon</w:t>
      </w:r>
      <w:r>
        <w:rPr>
          <w:rFonts w:ascii="Arial" w:hAnsi="Arial" w:cs="Arial"/>
          <w:color w:val="FF0000"/>
        </w:rPr>
        <w:t>, 2024. Disponível em: https://fenacon.org.br/noticias/o-papel-dos-contadores-na-reforma-tributaria-desafios-e-oportunidades/.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CFC. Reforma Tributária: Necessidade de Adaptabilidade dos Contadores. Disponível em: https://www.cfc.org.br.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CONSELHO FEDERAL DE CONTABILIDADE. Estudo técnico sobre os reflexos da reforma tributária nas empresas de serviços contábeis. Versão 14 ago. 2023. Disponível em: https://cfc.org.br/wp-content/uploads/2023/08/Versao_14_08_ReformaTributaria_CFC__ServicosContabeis.final_.pdf.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CONSELHO FEDERAL DE CONTABILIDADE. Reforma tributária: o novo sistema tributário brasileiro. Julho 2024. Disponível em: https://cfc.org.br/wp-content/uploads/2024/07/reforma_tributaria.pdf. Acesso em: 22 nov.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CONTABILIZEI. CBS - Imposto. Disponível em: https://www.contabilizei.com.br/contabilidade-online/cbs-imposto/.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CONTABILIZEI. IBS - Imposto sobre Bens e Serviços. Disponível em: https://www.contabilizei.com.br/contabilidade-online/ibs-imposto-sobre-bens-e-servicos/#:~:text=Mesmo%20que%20o%20recolhimento%20deste,regulamento%20em%20todo%20o%20Brasil.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CREPALDI, Sílvio A.; CREPALDI, Guilherme S. 2019. Disponível em: https://integrada.minhabiblioteca.com.br/reader/books/9788553131983/pageid/38.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FLOR, Ângela. 7 estatísticas sobre a profissão de contador. </w:t>
      </w:r>
      <w:r>
        <w:rPr>
          <w:rFonts w:ascii="Arial" w:hAnsi="Arial" w:cs="Arial"/>
          <w:i/>
          <w:iCs/>
          <w:color w:val="FF0000"/>
        </w:rPr>
        <w:t>Viver de Contabilidade</w:t>
      </w:r>
      <w:r>
        <w:rPr>
          <w:rFonts w:ascii="Arial" w:hAnsi="Arial" w:cs="Arial"/>
          <w:color w:val="FF0000"/>
        </w:rPr>
        <w:t>. Disponível em: https://viverdecontabilidade.com/7-estatisticas-sobre-a-profissao-de-contador/. Acesso em: 22 nov.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GOMES, Tamires. Pedagogia, Direito e mais: veja ranking dos cursos com mais alunos matriculados. </w:t>
      </w:r>
      <w:r>
        <w:rPr>
          <w:rFonts w:ascii="Arial" w:hAnsi="Arial" w:cs="Arial"/>
          <w:i/>
          <w:iCs/>
          <w:color w:val="FF0000"/>
        </w:rPr>
        <w:t>CNN Brasil</w:t>
      </w:r>
      <w:r>
        <w:rPr>
          <w:rFonts w:ascii="Arial" w:hAnsi="Arial" w:cs="Arial"/>
          <w:color w:val="FF0000"/>
        </w:rPr>
        <w:t>, 29 nov. 2024. Disponível em: https://www.cnnbrasil.com.br/educacao/pedagogia-direito-e-mais-veja-ranking-dos-cursos-com-mais-alunos-matriculados/. Acesso em: 1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GOVERNO FEDERAL. Lei Geral do IBS, da CBS e do Imposto Seletivo: Resumo Técnico. Disponível em: https://www.gov.br/fazenda/pt-br/acesso-a-</w:t>
      </w:r>
      <w:r>
        <w:rPr>
          <w:rFonts w:ascii="Arial" w:hAnsi="Arial" w:cs="Arial"/>
          <w:color w:val="FF0000"/>
        </w:rPr>
        <w:lastRenderedPageBreak/>
        <w:t>informacao/acoes-e-programas/reforma-tributaria/regulamentacao-da-reforma-tributaria/lei-geral-do-ibs-da-cbs-e-do-imposto-seletivo/resumos-tecnicos/plp-68-2024_resumo-ibs-e-cbs-sobre-operacoes.pdf.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GOVERNO FEDERAL. Perguntas e Respostas sobre a Reforma Tributária. Disponível em: https://www.gov.br/fazenda/pt-br/acesso-a-informacao/acoes-e-programas/reforma-tributaria/arquivos/perguntas-e-respostas-reforma-tributaria_.pdf.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IOB. O que é e por que a Reforma Tributária promete acabar com a Guerra Fiscal? Disponível em: https://noticias.iob.com.br/reforma-tributaria-guerra-fiscal/. Acesso em: 1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IOB. Reforma Tributária: Pesquisa Revela a Opinião dos Contadores. Disponível em: https://www.iob.com.br/.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LUCAS, Izalci. A reforma tributária precisa dos contadores. </w:t>
      </w:r>
      <w:r>
        <w:rPr>
          <w:rFonts w:ascii="Arial" w:hAnsi="Arial" w:cs="Arial"/>
          <w:i/>
          <w:iCs/>
          <w:color w:val="FF0000"/>
        </w:rPr>
        <w:t>Consultor Jurídico (CONJUR)</w:t>
      </w:r>
      <w:r>
        <w:rPr>
          <w:rFonts w:ascii="Arial" w:hAnsi="Arial" w:cs="Arial"/>
          <w:color w:val="FF0000"/>
        </w:rPr>
        <w:t>, 2024. Disponível em: https://www.conjur.com.br/2024/10/11/reforma-tributaria-precisa-contadores.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MACARIO, Lívia (org.). Reforma tributária: impactos na profissão contábil. </w:t>
      </w:r>
      <w:r>
        <w:rPr>
          <w:rFonts w:ascii="Arial" w:hAnsi="Arial" w:cs="Arial"/>
          <w:i/>
          <w:iCs/>
          <w:color w:val="FF0000"/>
        </w:rPr>
        <w:t>Contábeis</w:t>
      </w:r>
      <w:r>
        <w:rPr>
          <w:rFonts w:ascii="Arial" w:hAnsi="Arial" w:cs="Arial"/>
          <w:color w:val="FF0000"/>
        </w:rPr>
        <w:t>, 2023. Conteúdo de Ângelo. Disponível em: https://www.contabeis.com.br/noticias/60379/reforma-tributaria-impactos-na-profissao-contabil/. Acesso em: 1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MARION, José C. Contabilidade Básica. Rio de Janeiro: Grupo GEN, 2022. E-book. ISBN 9786559773220. Disponível em: https://integrada.minhabiblioteca.com.br/#/books/9786559773220/. Acesso em: 21 ago.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PECCINI NETO, Ângelo. Como a reforma tributária pode impactar a profissão contábil. </w:t>
      </w:r>
      <w:r>
        <w:rPr>
          <w:rFonts w:ascii="Arial" w:hAnsi="Arial" w:cs="Arial"/>
          <w:i/>
          <w:iCs/>
          <w:color w:val="FF0000"/>
        </w:rPr>
        <w:t>Portal Contábeis</w:t>
      </w:r>
      <w:r>
        <w:rPr>
          <w:rFonts w:ascii="Arial" w:hAnsi="Arial" w:cs="Arial"/>
          <w:color w:val="FF0000"/>
        </w:rPr>
        <w:t>. Disponível em: https://fenacon.org.br/reforma-tributaria/como-a-reforma-tributaria-pode-impactar-a-profissao-contabil/. Acesso em: 26 nov.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PAULSEN, Leandro. Curso de Direito Tributário. 6. ed. Porto Alegre: Livraria do Advogado, 2014.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RIBEIRO, Osni M. Contabilidade Básica. Rio de Janeiro: Grupo GEN, 2018. E-book. ISBN 9788547224806. Disponível em: https://integrada.minhabiblioteca.com.br/#/books/9788547224806/. Acesso em: 21 ago.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SENADO FEDERAL. Reforma Tributária de Ponta a Ponta. 2023. Disponível em: </w:t>
      </w:r>
      <w:r>
        <w:rPr>
          <w:rFonts w:ascii="Arial" w:hAnsi="Arial" w:cs="Arial"/>
          <w:color w:val="FF0000"/>
        </w:rPr>
        <w:lastRenderedPageBreak/>
        <w:t>https://www12.senado.leg.br/noticias/materias/2023/11/08/reforma-tributaria-de-ponta-a-ponta.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SENADO FEDERAL. Reforma Tributária Promulgada: Principais Mudanças Dependem de Novas Leis. 2023. Disponível em: https://www12.senado.leg.br/noticias/materias/2023/12/21/reforma-tributaria-promulgada-principais-mudancas-dependem-de-novas-leis. Acesso em: 11 out.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VARSANO, Ricardo. A evolução do sistema tributário brasileiro ao longo do século: anotações e reflexões para futuras reformas. 1995. Disponível em: https://repositorio.ipea.gov.br/bitstream/11058/1839/1/td_0405.pdf. Acesso em: 1 dez. 2024.</w:t>
      </w:r>
    </w:p>
    <w:p w:rsidR="003B62BD" w:rsidRDefault="008E5837">
      <w:pPr>
        <w:widowControl w:val="0"/>
        <w:tabs>
          <w:tab w:val="left" w:pos="220"/>
        </w:tabs>
        <w:spacing w:line="360" w:lineRule="auto"/>
        <w:jc w:val="both"/>
        <w:rPr>
          <w:rFonts w:ascii="Arial" w:hAnsi="Arial" w:cs="Arial"/>
          <w:color w:val="FF0000"/>
        </w:rPr>
      </w:pPr>
      <w:r>
        <w:rPr>
          <w:rFonts w:ascii="Arial" w:hAnsi="Arial" w:cs="Arial"/>
          <w:color w:val="FF0000"/>
        </w:rPr>
        <w:t xml:space="preserve">VERA, Andres. O que é IVA: o Imposto sobre Valor Agregado. </w:t>
      </w:r>
      <w:r>
        <w:rPr>
          <w:rFonts w:ascii="Arial" w:hAnsi="Arial" w:cs="Arial"/>
          <w:i/>
          <w:iCs/>
          <w:color w:val="FF0000"/>
        </w:rPr>
        <w:t>JOTA</w:t>
      </w:r>
      <w:r>
        <w:rPr>
          <w:rFonts w:ascii="Arial" w:hAnsi="Arial" w:cs="Arial"/>
          <w:color w:val="FF0000"/>
        </w:rPr>
        <w:t>, 2023. Disponível em: https://www.jota.info/tributos/o-que-e-iva-o-imposto-sobre-valor-agregado. Acesso em: 1 dez. 2024.</w:t>
      </w:r>
    </w:p>
    <w:sectPr w:rsidR="003B62BD" w:rsidSect="00A83774">
      <w:headerReference w:type="default" r:id="rId12"/>
      <w:footerReference w:type="default" r:id="rId13"/>
      <w:pgSz w:w="11906" w:h="16838"/>
      <w:pgMar w:top="1701" w:right="1134" w:bottom="1134" w:left="1701" w:header="454" w:footer="170" w:gutter="0"/>
      <w:pgNumType w:start="0"/>
      <w:cols w:space="720"/>
      <w:formProt w:val="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2453" w:rsidRDefault="000C2453">
      <w:r>
        <w:separator/>
      </w:r>
    </w:p>
  </w:endnote>
  <w:endnote w:type="continuationSeparator" w:id="0">
    <w:p w:rsidR="000C2453" w:rsidRDefault="000C2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1" w:type="dxa"/>
      <w:tblLayout w:type="fixed"/>
      <w:tblLook w:val="04A0" w:firstRow="1" w:lastRow="0" w:firstColumn="1" w:lastColumn="0" w:noHBand="0" w:noVBand="1"/>
    </w:tblPr>
    <w:tblGrid>
      <w:gridCol w:w="3003"/>
      <w:gridCol w:w="3063"/>
      <w:gridCol w:w="3005"/>
    </w:tblGrid>
    <w:tr w:rsidR="003B62BD">
      <w:tc>
        <w:tcPr>
          <w:tcW w:w="3003" w:type="dxa"/>
          <w:shd w:val="clear" w:color="auto" w:fill="auto"/>
        </w:tcPr>
        <w:p w:rsidR="003B62BD" w:rsidRDefault="003B62BD">
          <w:pPr>
            <w:pStyle w:val="Rodap"/>
            <w:widowControl w:val="0"/>
            <w:rPr>
              <w:rFonts w:ascii="Arial" w:hAnsi="Arial" w:cs="Arial"/>
              <w:sz w:val="20"/>
              <w:szCs w:val="20"/>
            </w:rPr>
          </w:pPr>
        </w:p>
      </w:tc>
      <w:tc>
        <w:tcPr>
          <w:tcW w:w="3063" w:type="dxa"/>
          <w:shd w:val="clear" w:color="auto" w:fill="auto"/>
        </w:tcPr>
        <w:p w:rsidR="003B62BD" w:rsidRDefault="008E5837">
          <w:pPr>
            <w:pStyle w:val="Rodap"/>
            <w:widowControl w:val="0"/>
            <w:jc w:val="center"/>
            <w:rPr>
              <w:rFonts w:ascii="Arial" w:hAnsi="Arial" w:cs="Arial"/>
              <w:sz w:val="20"/>
              <w:szCs w:val="20"/>
            </w:rPr>
          </w:pPr>
          <w:r>
            <w:rPr>
              <w:rFonts w:ascii="Arial" w:hAnsi="Arial" w:cs="Arial"/>
              <w:sz w:val="20"/>
              <w:szCs w:val="20"/>
            </w:rPr>
            <w:t>www.unifoa.edu.br/editorafoa</w:t>
          </w:r>
        </w:p>
      </w:tc>
      <w:tc>
        <w:tcPr>
          <w:tcW w:w="3005" w:type="dxa"/>
          <w:shd w:val="clear" w:color="auto" w:fill="auto"/>
        </w:tcPr>
        <w:p w:rsidR="003B62BD" w:rsidRDefault="003B62BD">
          <w:pPr>
            <w:pStyle w:val="Cabealho"/>
            <w:widowControl w:val="0"/>
            <w:jc w:val="right"/>
            <w:rPr>
              <w:rFonts w:cs="Arial"/>
              <w:b w:val="0"/>
              <w:szCs w:val="20"/>
            </w:rPr>
          </w:pPr>
        </w:p>
      </w:tc>
    </w:tr>
  </w:tbl>
  <w:p w:rsidR="003B62BD" w:rsidRDefault="003B62BD">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2453" w:rsidRDefault="000C2453">
      <w:r>
        <w:separator/>
      </w:r>
    </w:p>
  </w:footnote>
  <w:footnote w:type="continuationSeparator" w:id="0">
    <w:p w:rsidR="000C2453" w:rsidRDefault="000C2453">
      <w:r>
        <w:continuationSeparator/>
      </w:r>
    </w:p>
  </w:footnote>
  <w:footnote w:id="1">
    <w:p w:rsidR="00E53D02" w:rsidRPr="00E53D02" w:rsidRDefault="00E53D02" w:rsidP="00E53D02">
      <w:pPr>
        <w:pStyle w:val="Textodenotaderodap"/>
        <w:rPr>
          <w:rFonts w:ascii="Arial" w:hAnsi="Arial" w:cs="Arial"/>
        </w:rPr>
      </w:pPr>
      <w:r>
        <w:rPr>
          <w:rStyle w:val="Refdenotaderodap"/>
        </w:rPr>
        <w:footnoteRef/>
      </w:r>
      <w:r>
        <w:t xml:space="preserve"> </w:t>
      </w:r>
      <w:r w:rsidRPr="00E53D02">
        <w:rPr>
          <w:rFonts w:ascii="Arial" w:hAnsi="Arial" w:cs="Arial"/>
        </w:rPr>
        <w:t>Sistema Tributário Nacional Câmara dos Deputados- Texto base da Consultoria Legislativa</w:t>
      </w:r>
    </w:p>
    <w:p w:rsidR="00E53D02" w:rsidRDefault="00E53D02" w:rsidP="00E53D02">
      <w:pPr>
        <w:pStyle w:val="Textodenotaderodap"/>
      </w:pPr>
      <w:r w:rsidRPr="00E53D02">
        <w:rPr>
          <w:rFonts w:ascii="Arial" w:hAnsi="Arial" w:cs="Arial"/>
        </w:rPr>
        <w:t>Disponívle em: https://www2.camara.leg.br/atividade-legislativa/estudos-e-notas-tecnicas/fiquePorDentro/temas/sistema-tributario-nacional-jun-2019/texto-base-da-consultoria-legislativa Acesso em: dez 2024.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5950801"/>
      <w:docPartObj>
        <w:docPartGallery w:val="Page Numbers (Top of Page)"/>
        <w:docPartUnique/>
      </w:docPartObj>
    </w:sdtPr>
    <w:sdtContent>
      <w:p w:rsidR="00A83774" w:rsidRDefault="00A83774">
        <w:pPr>
          <w:pStyle w:val="Cabealho"/>
          <w:jc w:val="right"/>
        </w:pPr>
        <w:r>
          <w:rPr>
            <w:noProof/>
          </w:rPr>
          <w:drawing>
            <wp:anchor distT="0" distB="0" distL="0" distR="0" simplePos="0" relativeHeight="251659264" behindDoc="1" locked="0" layoutInCell="0" allowOverlap="1" wp14:anchorId="36FC18D1" wp14:editId="0050DB74">
              <wp:simplePos x="0" y="0"/>
              <wp:positionH relativeFrom="margin">
                <wp:posOffset>4572000</wp:posOffset>
              </wp:positionH>
              <wp:positionV relativeFrom="paragraph">
                <wp:posOffset>224155</wp:posOffset>
              </wp:positionV>
              <wp:extent cx="1257300" cy="535940"/>
              <wp:effectExtent l="0" t="0" r="0" b="0"/>
              <wp:wrapNone/>
              <wp:docPr id="2"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0"/>
                      <pic:cNvPicPr>
                        <a:picLocks noChangeAspect="1" noChangeArrowheads="1"/>
                      </pic:cNvPicPr>
                    </pic:nvPicPr>
                    <pic:blipFill>
                      <a:blip r:embed="rId1"/>
                      <a:stretch>
                        <a:fillRect/>
                      </a:stretch>
                    </pic:blipFill>
                    <pic:spPr>
                      <a:xfrm>
                        <a:off x="0" y="0"/>
                        <a:ext cx="1257300" cy="535940"/>
                      </a:xfrm>
                      <a:prstGeom prst="rect">
                        <a:avLst/>
                      </a:prstGeom>
                    </pic:spPr>
                  </pic:pic>
                </a:graphicData>
              </a:graphic>
            </wp:anchor>
          </w:drawing>
        </w:r>
        <w:r>
          <w:fldChar w:fldCharType="begin"/>
        </w:r>
        <w:r>
          <w:instrText>PAGE   \* MERGEFORMAT</w:instrText>
        </w:r>
        <w:r>
          <w:fldChar w:fldCharType="separate"/>
        </w:r>
        <w:r>
          <w:rPr>
            <w:noProof/>
          </w:rPr>
          <w:t>4</w:t>
        </w:r>
        <w:r>
          <w:fldChar w:fldCharType="end"/>
        </w:r>
      </w:p>
    </w:sdtContent>
  </w:sdt>
  <w:p w:rsidR="003B62BD" w:rsidRDefault="00A83774">
    <w:pPr>
      <w:pStyle w:val="Cabealho"/>
      <w:jc w:val="left"/>
    </w:pPr>
    <w:r>
      <w:rPr>
        <w:noProof/>
      </w:rPr>
      <w:drawing>
        <wp:inline distT="0" distB="0" distL="0" distR="0" wp14:anchorId="1F49A13C" wp14:editId="66BB3564">
          <wp:extent cx="790575" cy="6477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2"/>
                  <a:stretch>
                    <a:fillRect/>
                  </a:stretch>
                </pic:blipFill>
                <pic:spPr>
                  <a:xfrm>
                    <a:off x="0" y="0"/>
                    <a:ext cx="790575" cy="6477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7A1416"/>
    <w:multiLevelType w:val="multilevel"/>
    <w:tmpl w:val="287A141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15:restartNumberingAfterBreak="0">
    <w:nsid w:val="53E5640E"/>
    <w:multiLevelType w:val="multilevel"/>
    <w:tmpl w:val="53E5640E"/>
    <w:lvl w:ilvl="0">
      <w:start w:val="1"/>
      <w:numFmt w:val="bullet"/>
      <w:lvlText w:val=""/>
      <w:lvlJc w:val="left"/>
      <w:pPr>
        <w:ind w:left="1423"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634AB374"/>
    <w:multiLevelType w:val="multilevel"/>
    <w:tmpl w:val="634AB374"/>
    <w:lvl w:ilvl="0">
      <w:start w:val="1"/>
      <w:numFmt w:val="bullet"/>
      <w:lvlText w:val=""/>
      <w:lvlJc w:val="left"/>
      <w:pPr>
        <w:ind w:left="1423"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7770998C"/>
    <w:multiLevelType w:val="multilevel"/>
    <w:tmpl w:val="7770998C"/>
    <w:lvl w:ilvl="0">
      <w:start w:val="1"/>
      <w:numFmt w:val="bullet"/>
      <w:lvlText w:val=""/>
      <w:lvlJc w:val="left"/>
      <w:pPr>
        <w:ind w:left="1423"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A8C"/>
    <w:rsid w:val="00012E69"/>
    <w:rsid w:val="00030F92"/>
    <w:rsid w:val="0003261A"/>
    <w:rsid w:val="0004223C"/>
    <w:rsid w:val="00045485"/>
    <w:rsid w:val="000477D3"/>
    <w:rsid w:val="00052006"/>
    <w:rsid w:val="0005336A"/>
    <w:rsid w:val="00074061"/>
    <w:rsid w:val="000768F9"/>
    <w:rsid w:val="00091C6E"/>
    <w:rsid w:val="000A47E6"/>
    <w:rsid w:val="000B50F0"/>
    <w:rsid w:val="000B5E66"/>
    <w:rsid w:val="000C2453"/>
    <w:rsid w:val="000C261F"/>
    <w:rsid w:val="000D101C"/>
    <w:rsid w:val="000D33DD"/>
    <w:rsid w:val="00102D38"/>
    <w:rsid w:val="00110580"/>
    <w:rsid w:val="0014230D"/>
    <w:rsid w:val="001438D5"/>
    <w:rsid w:val="00151225"/>
    <w:rsid w:val="00164BC6"/>
    <w:rsid w:val="00172C2C"/>
    <w:rsid w:val="0017362D"/>
    <w:rsid w:val="001906E2"/>
    <w:rsid w:val="001B237B"/>
    <w:rsid w:val="001B325D"/>
    <w:rsid w:val="001D3FE4"/>
    <w:rsid w:val="001D5386"/>
    <w:rsid w:val="001F6667"/>
    <w:rsid w:val="00212B9D"/>
    <w:rsid w:val="002137D8"/>
    <w:rsid w:val="00247DA4"/>
    <w:rsid w:val="00267AD2"/>
    <w:rsid w:val="00272AAB"/>
    <w:rsid w:val="002744D2"/>
    <w:rsid w:val="0029231B"/>
    <w:rsid w:val="002A1CEB"/>
    <w:rsid w:val="002B16EB"/>
    <w:rsid w:val="002C4294"/>
    <w:rsid w:val="002C6F5F"/>
    <w:rsid w:val="002E19D8"/>
    <w:rsid w:val="002E7E3E"/>
    <w:rsid w:val="002F4EA9"/>
    <w:rsid w:val="002F6F1E"/>
    <w:rsid w:val="00317501"/>
    <w:rsid w:val="00330047"/>
    <w:rsid w:val="00360E69"/>
    <w:rsid w:val="003617E7"/>
    <w:rsid w:val="00366FD3"/>
    <w:rsid w:val="0036779A"/>
    <w:rsid w:val="00371945"/>
    <w:rsid w:val="00376C90"/>
    <w:rsid w:val="00381558"/>
    <w:rsid w:val="003904F7"/>
    <w:rsid w:val="003922A5"/>
    <w:rsid w:val="003967FB"/>
    <w:rsid w:val="003A1D0D"/>
    <w:rsid w:val="003B0A0A"/>
    <w:rsid w:val="003B1708"/>
    <w:rsid w:val="003B1EB1"/>
    <w:rsid w:val="003B62BD"/>
    <w:rsid w:val="003C4139"/>
    <w:rsid w:val="003D25CF"/>
    <w:rsid w:val="003D38FE"/>
    <w:rsid w:val="003F2FF6"/>
    <w:rsid w:val="00410186"/>
    <w:rsid w:val="004107DB"/>
    <w:rsid w:val="00420BA2"/>
    <w:rsid w:val="0042444C"/>
    <w:rsid w:val="0043372B"/>
    <w:rsid w:val="00437C90"/>
    <w:rsid w:val="0044140A"/>
    <w:rsid w:val="004449D1"/>
    <w:rsid w:val="00450226"/>
    <w:rsid w:val="0045051B"/>
    <w:rsid w:val="00462ABD"/>
    <w:rsid w:val="00472A72"/>
    <w:rsid w:val="004802EF"/>
    <w:rsid w:val="00483F50"/>
    <w:rsid w:val="00484671"/>
    <w:rsid w:val="004A3FB8"/>
    <w:rsid w:val="004C1EA4"/>
    <w:rsid w:val="004C23D1"/>
    <w:rsid w:val="004C7991"/>
    <w:rsid w:val="004E605C"/>
    <w:rsid w:val="004F3673"/>
    <w:rsid w:val="00517DF9"/>
    <w:rsid w:val="005260AE"/>
    <w:rsid w:val="00544D70"/>
    <w:rsid w:val="00550294"/>
    <w:rsid w:val="0055114A"/>
    <w:rsid w:val="00554425"/>
    <w:rsid w:val="00560E0A"/>
    <w:rsid w:val="00562A7F"/>
    <w:rsid w:val="00570C01"/>
    <w:rsid w:val="00594478"/>
    <w:rsid w:val="005A22DE"/>
    <w:rsid w:val="005C4F8E"/>
    <w:rsid w:val="00605A79"/>
    <w:rsid w:val="006168E2"/>
    <w:rsid w:val="006234BA"/>
    <w:rsid w:val="006264DF"/>
    <w:rsid w:val="0063005C"/>
    <w:rsid w:val="0063266D"/>
    <w:rsid w:val="00637031"/>
    <w:rsid w:val="006438FB"/>
    <w:rsid w:val="0065606C"/>
    <w:rsid w:val="00665ECA"/>
    <w:rsid w:val="00681E24"/>
    <w:rsid w:val="00684144"/>
    <w:rsid w:val="006868FD"/>
    <w:rsid w:val="00691303"/>
    <w:rsid w:val="00696466"/>
    <w:rsid w:val="006A25EC"/>
    <w:rsid w:val="006A3867"/>
    <w:rsid w:val="00702A5D"/>
    <w:rsid w:val="00703FCF"/>
    <w:rsid w:val="00711A92"/>
    <w:rsid w:val="00711B51"/>
    <w:rsid w:val="00713FF2"/>
    <w:rsid w:val="007309CF"/>
    <w:rsid w:val="00741418"/>
    <w:rsid w:val="00741BCB"/>
    <w:rsid w:val="00745519"/>
    <w:rsid w:val="007552CA"/>
    <w:rsid w:val="00763E75"/>
    <w:rsid w:val="0076769A"/>
    <w:rsid w:val="00776FD6"/>
    <w:rsid w:val="00783B79"/>
    <w:rsid w:val="00786DFF"/>
    <w:rsid w:val="0079503C"/>
    <w:rsid w:val="007973D2"/>
    <w:rsid w:val="007A1854"/>
    <w:rsid w:val="007A7100"/>
    <w:rsid w:val="007B6BB0"/>
    <w:rsid w:val="007C317D"/>
    <w:rsid w:val="007C74BE"/>
    <w:rsid w:val="007C7817"/>
    <w:rsid w:val="007C7DFD"/>
    <w:rsid w:val="007D568D"/>
    <w:rsid w:val="007D5DA6"/>
    <w:rsid w:val="007D676A"/>
    <w:rsid w:val="007D6AB7"/>
    <w:rsid w:val="007E37A2"/>
    <w:rsid w:val="007F7827"/>
    <w:rsid w:val="007F7B77"/>
    <w:rsid w:val="00810A43"/>
    <w:rsid w:val="0081214A"/>
    <w:rsid w:val="00812ACA"/>
    <w:rsid w:val="00812DAD"/>
    <w:rsid w:val="008136D3"/>
    <w:rsid w:val="00832222"/>
    <w:rsid w:val="00835279"/>
    <w:rsid w:val="00841ED6"/>
    <w:rsid w:val="00850F9A"/>
    <w:rsid w:val="008523FA"/>
    <w:rsid w:val="00856F09"/>
    <w:rsid w:val="008850CB"/>
    <w:rsid w:val="00891E15"/>
    <w:rsid w:val="008920FD"/>
    <w:rsid w:val="0089708B"/>
    <w:rsid w:val="008A032D"/>
    <w:rsid w:val="008B0CFA"/>
    <w:rsid w:val="008B4649"/>
    <w:rsid w:val="008B6591"/>
    <w:rsid w:val="008C633A"/>
    <w:rsid w:val="008E5837"/>
    <w:rsid w:val="008E66B2"/>
    <w:rsid w:val="008F2121"/>
    <w:rsid w:val="00905A8E"/>
    <w:rsid w:val="0091426F"/>
    <w:rsid w:val="00935DBA"/>
    <w:rsid w:val="00951B3C"/>
    <w:rsid w:val="00954763"/>
    <w:rsid w:val="0096251E"/>
    <w:rsid w:val="009630A6"/>
    <w:rsid w:val="00966034"/>
    <w:rsid w:val="00967FEE"/>
    <w:rsid w:val="0098245A"/>
    <w:rsid w:val="00993A4B"/>
    <w:rsid w:val="0099657A"/>
    <w:rsid w:val="009A6F55"/>
    <w:rsid w:val="009C21A0"/>
    <w:rsid w:val="009E2AC6"/>
    <w:rsid w:val="009E4741"/>
    <w:rsid w:val="009F5BA1"/>
    <w:rsid w:val="009F6AD4"/>
    <w:rsid w:val="00A00B0E"/>
    <w:rsid w:val="00A07D29"/>
    <w:rsid w:val="00A16534"/>
    <w:rsid w:val="00A22351"/>
    <w:rsid w:val="00A317F0"/>
    <w:rsid w:val="00A428DE"/>
    <w:rsid w:val="00A50E5E"/>
    <w:rsid w:val="00A56532"/>
    <w:rsid w:val="00A57473"/>
    <w:rsid w:val="00A823AA"/>
    <w:rsid w:val="00A83774"/>
    <w:rsid w:val="00AB3607"/>
    <w:rsid w:val="00AD3E20"/>
    <w:rsid w:val="00AE7108"/>
    <w:rsid w:val="00B022BF"/>
    <w:rsid w:val="00B02869"/>
    <w:rsid w:val="00B116F4"/>
    <w:rsid w:val="00B165FE"/>
    <w:rsid w:val="00B17249"/>
    <w:rsid w:val="00B24E44"/>
    <w:rsid w:val="00B33575"/>
    <w:rsid w:val="00B44495"/>
    <w:rsid w:val="00B446BB"/>
    <w:rsid w:val="00B5071B"/>
    <w:rsid w:val="00B77111"/>
    <w:rsid w:val="00B85598"/>
    <w:rsid w:val="00B86B8F"/>
    <w:rsid w:val="00BA39F6"/>
    <w:rsid w:val="00BC56E3"/>
    <w:rsid w:val="00BE15A9"/>
    <w:rsid w:val="00BE2151"/>
    <w:rsid w:val="00BE3AD2"/>
    <w:rsid w:val="00BE791A"/>
    <w:rsid w:val="00BF15EA"/>
    <w:rsid w:val="00BF4ADB"/>
    <w:rsid w:val="00BF6567"/>
    <w:rsid w:val="00C177B6"/>
    <w:rsid w:val="00C20E66"/>
    <w:rsid w:val="00C41484"/>
    <w:rsid w:val="00C42275"/>
    <w:rsid w:val="00C44B21"/>
    <w:rsid w:val="00C76FC4"/>
    <w:rsid w:val="00CA1D81"/>
    <w:rsid w:val="00CB0113"/>
    <w:rsid w:val="00CB46C3"/>
    <w:rsid w:val="00CB57E9"/>
    <w:rsid w:val="00CD6321"/>
    <w:rsid w:val="00CD755E"/>
    <w:rsid w:val="00CE2EE5"/>
    <w:rsid w:val="00CE5A79"/>
    <w:rsid w:val="00CF0DB0"/>
    <w:rsid w:val="00D05E52"/>
    <w:rsid w:val="00D13C16"/>
    <w:rsid w:val="00D15D1B"/>
    <w:rsid w:val="00D179A3"/>
    <w:rsid w:val="00D259A0"/>
    <w:rsid w:val="00D25DCD"/>
    <w:rsid w:val="00D26EFF"/>
    <w:rsid w:val="00D427C0"/>
    <w:rsid w:val="00D512DE"/>
    <w:rsid w:val="00D51331"/>
    <w:rsid w:val="00D527BC"/>
    <w:rsid w:val="00D528F8"/>
    <w:rsid w:val="00D534E3"/>
    <w:rsid w:val="00D54F91"/>
    <w:rsid w:val="00D77F80"/>
    <w:rsid w:val="00D85C5A"/>
    <w:rsid w:val="00D87E75"/>
    <w:rsid w:val="00D94713"/>
    <w:rsid w:val="00DA3ED7"/>
    <w:rsid w:val="00DB63FB"/>
    <w:rsid w:val="00DB644C"/>
    <w:rsid w:val="00DD3E81"/>
    <w:rsid w:val="00DF0513"/>
    <w:rsid w:val="00E04BC5"/>
    <w:rsid w:val="00E13374"/>
    <w:rsid w:val="00E1712C"/>
    <w:rsid w:val="00E3327C"/>
    <w:rsid w:val="00E40F86"/>
    <w:rsid w:val="00E428ED"/>
    <w:rsid w:val="00E46C7A"/>
    <w:rsid w:val="00E53D02"/>
    <w:rsid w:val="00E5494E"/>
    <w:rsid w:val="00E6501F"/>
    <w:rsid w:val="00E76B54"/>
    <w:rsid w:val="00E77C8A"/>
    <w:rsid w:val="00EA1C32"/>
    <w:rsid w:val="00EA6046"/>
    <w:rsid w:val="00EB6B20"/>
    <w:rsid w:val="00EC3FB5"/>
    <w:rsid w:val="00EE553A"/>
    <w:rsid w:val="00EF4F10"/>
    <w:rsid w:val="00F02E92"/>
    <w:rsid w:val="00F03171"/>
    <w:rsid w:val="00F03D19"/>
    <w:rsid w:val="00F05C3E"/>
    <w:rsid w:val="00F05FEB"/>
    <w:rsid w:val="00F07D2A"/>
    <w:rsid w:val="00F141DC"/>
    <w:rsid w:val="00F24E85"/>
    <w:rsid w:val="00F40E79"/>
    <w:rsid w:val="00F53C85"/>
    <w:rsid w:val="00F54669"/>
    <w:rsid w:val="00F64B95"/>
    <w:rsid w:val="00F679F5"/>
    <w:rsid w:val="00F67DD1"/>
    <w:rsid w:val="00F75149"/>
    <w:rsid w:val="00F751D6"/>
    <w:rsid w:val="00F848EC"/>
    <w:rsid w:val="00F87A8C"/>
    <w:rsid w:val="00FA02EE"/>
    <w:rsid w:val="00FA0312"/>
    <w:rsid w:val="00FA0B18"/>
    <w:rsid w:val="00FA0EEC"/>
    <w:rsid w:val="00FB25E4"/>
    <w:rsid w:val="00FB462E"/>
    <w:rsid w:val="00FB5238"/>
    <w:rsid w:val="00FC0834"/>
    <w:rsid w:val="00FC69EF"/>
    <w:rsid w:val="00FE279F"/>
    <w:rsid w:val="00FE5E2B"/>
    <w:rsid w:val="0131D5C3"/>
    <w:rsid w:val="0166ACCC"/>
    <w:rsid w:val="03DFF5C1"/>
    <w:rsid w:val="050AC1BD"/>
    <w:rsid w:val="0635DF50"/>
    <w:rsid w:val="0692E9FD"/>
    <w:rsid w:val="06B762B9"/>
    <w:rsid w:val="0886B91C"/>
    <w:rsid w:val="09AE18C4"/>
    <w:rsid w:val="0B324F2E"/>
    <w:rsid w:val="0D7A6284"/>
    <w:rsid w:val="0EFE5217"/>
    <w:rsid w:val="0F24716F"/>
    <w:rsid w:val="13339004"/>
    <w:rsid w:val="14AC2D0E"/>
    <w:rsid w:val="14DBA361"/>
    <w:rsid w:val="1571EC1C"/>
    <w:rsid w:val="180718C2"/>
    <w:rsid w:val="1986B675"/>
    <w:rsid w:val="19B0F5DE"/>
    <w:rsid w:val="1A8B92DF"/>
    <w:rsid w:val="1A961367"/>
    <w:rsid w:val="1ADF286A"/>
    <w:rsid w:val="1B6D47D8"/>
    <w:rsid w:val="1B739BCA"/>
    <w:rsid w:val="1CD95BFE"/>
    <w:rsid w:val="1D7D1F85"/>
    <w:rsid w:val="1DFBC7B0"/>
    <w:rsid w:val="21597382"/>
    <w:rsid w:val="21A8265A"/>
    <w:rsid w:val="21EE0D29"/>
    <w:rsid w:val="2287D094"/>
    <w:rsid w:val="22E6CEB3"/>
    <w:rsid w:val="232B5E6F"/>
    <w:rsid w:val="23631744"/>
    <w:rsid w:val="23FB3882"/>
    <w:rsid w:val="26132DDE"/>
    <w:rsid w:val="275E917B"/>
    <w:rsid w:val="2B3B8D3E"/>
    <w:rsid w:val="2B6CE8C9"/>
    <w:rsid w:val="2E8014EC"/>
    <w:rsid w:val="2FDB858D"/>
    <w:rsid w:val="30B49093"/>
    <w:rsid w:val="32B8B851"/>
    <w:rsid w:val="358ABAD8"/>
    <w:rsid w:val="35B05F67"/>
    <w:rsid w:val="376FF129"/>
    <w:rsid w:val="38BF70ED"/>
    <w:rsid w:val="39DA2D4E"/>
    <w:rsid w:val="3A842F1D"/>
    <w:rsid w:val="3F43138D"/>
    <w:rsid w:val="3F9742E0"/>
    <w:rsid w:val="3FD91060"/>
    <w:rsid w:val="3FECBECB"/>
    <w:rsid w:val="3FF85392"/>
    <w:rsid w:val="4060A665"/>
    <w:rsid w:val="4303E369"/>
    <w:rsid w:val="432EC766"/>
    <w:rsid w:val="45016034"/>
    <w:rsid w:val="453F73D8"/>
    <w:rsid w:val="45DA6981"/>
    <w:rsid w:val="462562B8"/>
    <w:rsid w:val="473368DA"/>
    <w:rsid w:val="475D65AD"/>
    <w:rsid w:val="4B0A1654"/>
    <w:rsid w:val="4B71F4F5"/>
    <w:rsid w:val="4C08FB04"/>
    <w:rsid w:val="4D0ED1F4"/>
    <w:rsid w:val="4E6D80C0"/>
    <w:rsid w:val="4E9106BB"/>
    <w:rsid w:val="4EA5C700"/>
    <w:rsid w:val="4EF2C18E"/>
    <w:rsid w:val="4F6D1715"/>
    <w:rsid w:val="4F747950"/>
    <w:rsid w:val="50A0FE64"/>
    <w:rsid w:val="51CBD3EC"/>
    <w:rsid w:val="53B75407"/>
    <w:rsid w:val="53FAD263"/>
    <w:rsid w:val="54ED03D9"/>
    <w:rsid w:val="55047D56"/>
    <w:rsid w:val="587929EC"/>
    <w:rsid w:val="591A767A"/>
    <w:rsid w:val="59C2E451"/>
    <w:rsid w:val="5E214437"/>
    <w:rsid w:val="5ED91DFB"/>
    <w:rsid w:val="5F3DAD58"/>
    <w:rsid w:val="608455AD"/>
    <w:rsid w:val="6156FA4B"/>
    <w:rsid w:val="630B472C"/>
    <w:rsid w:val="638063C8"/>
    <w:rsid w:val="64188876"/>
    <w:rsid w:val="6454A8F2"/>
    <w:rsid w:val="6510BEA1"/>
    <w:rsid w:val="651792E2"/>
    <w:rsid w:val="652D285C"/>
    <w:rsid w:val="65F0AC97"/>
    <w:rsid w:val="6753D345"/>
    <w:rsid w:val="675915E4"/>
    <w:rsid w:val="6760DC6E"/>
    <w:rsid w:val="679E9040"/>
    <w:rsid w:val="68029067"/>
    <w:rsid w:val="68EDFB58"/>
    <w:rsid w:val="6951919D"/>
    <w:rsid w:val="69645B82"/>
    <w:rsid w:val="69FE9096"/>
    <w:rsid w:val="6A4C931C"/>
    <w:rsid w:val="6A59C031"/>
    <w:rsid w:val="6AC5A341"/>
    <w:rsid w:val="6BDE9CA1"/>
    <w:rsid w:val="6C76C8F2"/>
    <w:rsid w:val="6D87CB21"/>
    <w:rsid w:val="6F82AECA"/>
    <w:rsid w:val="6FD3D5A1"/>
    <w:rsid w:val="70725E25"/>
    <w:rsid w:val="70E8AFBE"/>
    <w:rsid w:val="740CF1E6"/>
    <w:rsid w:val="7538DCF6"/>
    <w:rsid w:val="7543C2A5"/>
    <w:rsid w:val="760B9304"/>
    <w:rsid w:val="775C4E66"/>
    <w:rsid w:val="77FA4FC7"/>
    <w:rsid w:val="787A9AB6"/>
    <w:rsid w:val="78A13449"/>
    <w:rsid w:val="78B53916"/>
    <w:rsid w:val="78FA824F"/>
    <w:rsid w:val="7AC3B37A"/>
    <w:rsid w:val="7AF2773E"/>
    <w:rsid w:val="7BF390AD"/>
    <w:rsid w:val="7D93F3CB"/>
    <w:rsid w:val="7E955B33"/>
    <w:rsid w:val="7F1614C2"/>
    <w:rsid w:val="7F467C2F"/>
    <w:rsid w:val="7FFB731D"/>
  </w:rsids>
  <m:mathPr>
    <m:mathFont m:val="Cambria Math"/>
    <m:brkBin m:val="before"/>
    <m:brkBinSub m:val="--"/>
    <m:smallFrac m:val="0"/>
    <m:dispDef/>
    <m:lMargin m:val="0"/>
    <m:rMargin m:val="0"/>
    <m:defJc m:val="centerGroup"/>
    <m:wrapIndent m:val="1440"/>
    <m:intLim m:val="subSup"/>
    <m:naryLim m:val="undOvr"/>
  </m:mathPr>
  <w:themeFontLang w:val="pt-BR"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A946B0-82D9-4BB7-8227-9A4919EE5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Calibri"/>
      <w:sz w:val="24"/>
      <w:szCs w:val="24"/>
    </w:rPr>
  </w:style>
  <w:style w:type="paragraph" w:styleId="Ttulo1">
    <w:name w:val="heading 1"/>
    <w:basedOn w:val="Normal"/>
    <w:next w:val="Normal"/>
    <w:link w:val="Ttulo1Char"/>
    <w:uiPriority w:val="9"/>
    <w:qFormat/>
    <w:pPr>
      <w:keepNext/>
      <w:spacing w:before="240" w:after="60"/>
      <w:outlineLvl w:val="0"/>
    </w:pPr>
    <w:rPr>
      <w:rFonts w:ascii="Cambria" w:eastAsia="Times New Roman" w:hAnsi="Cambria"/>
      <w:b/>
      <w:bCs/>
      <w:kern w:val="2"/>
      <w:sz w:val="32"/>
      <w:szCs w:val="32"/>
    </w:rPr>
  </w:style>
  <w:style w:type="paragraph" w:styleId="Ttulo2">
    <w:name w:val="heading 2"/>
    <w:basedOn w:val="Normal"/>
    <w:next w:val="Normal"/>
    <w:link w:val="Ttulo2Char"/>
    <w:uiPriority w:val="9"/>
    <w:semiHidden/>
    <w:unhideWhenUsed/>
    <w:qFormat/>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har"/>
    <w:uiPriority w:val="9"/>
    <w:semiHidden/>
    <w:unhideWhenUsed/>
    <w:qFormat/>
    <w:pPr>
      <w:keepNext/>
      <w:keepLines/>
      <w:spacing w:before="40"/>
      <w:outlineLvl w:val="2"/>
    </w:pPr>
    <w:rPr>
      <w:rFonts w:asciiTheme="majorHAnsi" w:eastAsiaTheme="majorEastAsia" w:hAnsiTheme="majorHAnsi" w:cstheme="majorBidi"/>
      <w:color w:val="244061" w:themeColor="accent1" w:themeShade="8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uiPriority w:val="22"/>
    <w:qFormat/>
    <w:rPr>
      <w:b/>
      <w:bCs/>
    </w:rPr>
  </w:style>
  <w:style w:type="character" w:styleId="Refdecomentrio">
    <w:name w:val="annotation reference"/>
    <w:basedOn w:val="Fontepargpadro"/>
    <w:uiPriority w:val="99"/>
    <w:semiHidden/>
    <w:unhideWhenUsed/>
    <w:qFormat/>
    <w:rPr>
      <w:sz w:val="16"/>
      <w:szCs w:val="16"/>
    </w:rPr>
  </w:style>
  <w:style w:type="character" w:styleId="nfase">
    <w:name w:val="Emphasis"/>
    <w:basedOn w:val="Fontepargpadro"/>
    <w:uiPriority w:val="20"/>
    <w:qFormat/>
    <w:rPr>
      <w:i/>
      <w:iCs/>
    </w:rPr>
  </w:style>
  <w:style w:type="character" w:styleId="Hyperlink">
    <w:name w:val="Hyperlink"/>
    <w:basedOn w:val="Fontepargpadro"/>
    <w:uiPriority w:val="99"/>
    <w:unhideWhenUsed/>
    <w:qFormat/>
    <w:rPr>
      <w:color w:val="0000FF" w:themeColor="hyperlink"/>
      <w:u w:val="single"/>
    </w:rPr>
  </w:style>
  <w:style w:type="paragraph" w:styleId="Lista">
    <w:name w:val="List"/>
    <w:basedOn w:val="Corpodetexto"/>
    <w:rPr>
      <w:rFonts w:cs="Lucida Sans"/>
    </w:rPr>
  </w:style>
  <w:style w:type="paragraph" w:styleId="Corpodetexto">
    <w:name w:val="Body Text"/>
    <w:basedOn w:val="Normal"/>
    <w:qFormat/>
    <w:pPr>
      <w:spacing w:after="140" w:line="276" w:lineRule="auto"/>
    </w:pPr>
  </w:style>
  <w:style w:type="paragraph" w:styleId="Textodecomentrio">
    <w:name w:val="annotation text"/>
    <w:basedOn w:val="Normal"/>
    <w:link w:val="TextodecomentrioChar"/>
    <w:uiPriority w:val="99"/>
    <w:unhideWhenUsed/>
    <w:qFormat/>
    <w:rPr>
      <w:sz w:val="20"/>
      <w:szCs w:val="20"/>
    </w:rPr>
  </w:style>
  <w:style w:type="paragraph" w:styleId="Ttulo">
    <w:name w:val="Title"/>
    <w:next w:val="Corpodetexto"/>
    <w:link w:val="TtuloChar"/>
    <w:uiPriority w:val="10"/>
    <w:qFormat/>
    <w:pPr>
      <w:suppressAutoHyphens/>
      <w:spacing w:after="360"/>
      <w:jc w:val="center"/>
    </w:pPr>
    <w:rPr>
      <w:rFonts w:ascii="Arial" w:eastAsia="Calibri" w:hAnsi="Arial"/>
      <w:b/>
      <w:sz w:val="24"/>
      <w:szCs w:val="24"/>
    </w:rPr>
  </w:style>
  <w:style w:type="paragraph" w:styleId="NormalWeb">
    <w:name w:val="Normal (Web)"/>
    <w:basedOn w:val="Normal"/>
    <w:uiPriority w:val="99"/>
    <w:unhideWhenUsed/>
    <w:qFormat/>
    <w:pPr>
      <w:spacing w:beforeAutospacing="1" w:afterAutospacing="1"/>
    </w:pPr>
    <w:rPr>
      <w:rFonts w:eastAsia="Times New Roman"/>
    </w:rPr>
  </w:style>
  <w:style w:type="paragraph" w:styleId="Corpodetexto2">
    <w:name w:val="Body Text 2"/>
    <w:basedOn w:val="Normal"/>
    <w:link w:val="Corpodetexto2Char"/>
    <w:semiHidden/>
    <w:qFormat/>
    <w:pPr>
      <w:spacing w:line="480" w:lineRule="auto"/>
    </w:pPr>
    <w:rPr>
      <w:szCs w:val="20"/>
    </w:rPr>
  </w:style>
  <w:style w:type="paragraph" w:styleId="Cabealho">
    <w:name w:val="header"/>
    <w:basedOn w:val="Normal"/>
    <w:link w:val="CabealhoChar"/>
    <w:uiPriority w:val="99"/>
    <w:unhideWhenUsed/>
    <w:qFormat/>
    <w:pPr>
      <w:tabs>
        <w:tab w:val="center" w:pos="4252"/>
        <w:tab w:val="right" w:pos="8504"/>
      </w:tabs>
      <w:spacing w:after="160"/>
      <w:jc w:val="center"/>
    </w:pPr>
    <w:rPr>
      <w:rFonts w:ascii="Arial" w:hAnsi="Arial"/>
      <w:b/>
      <w:sz w:val="20"/>
    </w:r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Legenda">
    <w:name w:val="caption"/>
    <w:basedOn w:val="Normal"/>
    <w:next w:val="Normal"/>
    <w:uiPriority w:val="35"/>
    <w:unhideWhenUsed/>
    <w:qFormat/>
    <w:pPr>
      <w:spacing w:before="360" w:line="360" w:lineRule="auto"/>
      <w:jc w:val="center"/>
    </w:pPr>
    <w:rPr>
      <w:rFonts w:ascii="Arial" w:eastAsia="Times New Roman" w:hAnsi="Arial" w:cs="Arial"/>
      <w:bCs/>
      <w:sz w:val="20"/>
      <w:szCs w:val="20"/>
    </w:rPr>
  </w:style>
  <w:style w:type="paragraph" w:styleId="Textodebalo">
    <w:name w:val="Balloon Text"/>
    <w:basedOn w:val="Normal"/>
    <w:link w:val="TextodebaloChar"/>
    <w:uiPriority w:val="99"/>
    <w:semiHidden/>
    <w:unhideWhenUsed/>
    <w:qFormat/>
    <w:rPr>
      <w:rFonts w:ascii="Segoe UI" w:hAnsi="Segoe UI" w:cs="Segoe UI"/>
      <w:sz w:val="18"/>
      <w:szCs w:val="18"/>
    </w:rPr>
  </w:style>
  <w:style w:type="paragraph" w:styleId="Subttulo">
    <w:name w:val="Subtitle"/>
    <w:basedOn w:val="Normal"/>
    <w:next w:val="Normal"/>
    <w:link w:val="SubttuloChar"/>
    <w:uiPriority w:val="11"/>
    <w:qFormat/>
    <w:pPr>
      <w:spacing w:after="60"/>
      <w:jc w:val="center"/>
      <w:outlineLvl w:val="1"/>
    </w:pPr>
    <w:rPr>
      <w:rFonts w:ascii="Cambria" w:eastAsia="Times New Roman" w:hAnsi="Cambria"/>
    </w:r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rpodetexto2Char">
    <w:name w:val="Corpo de texto 2 Char"/>
    <w:link w:val="Corpodetexto2"/>
    <w:semiHidden/>
    <w:qFormat/>
    <w:rPr>
      <w:rFonts w:ascii="Times New Roman" w:eastAsia="Calibri" w:hAnsi="Times New Roman" w:cs="Times New Roman"/>
      <w:sz w:val="24"/>
      <w:szCs w:val="20"/>
      <w:lang w:eastAsia="pt-BR"/>
    </w:rPr>
  </w:style>
  <w:style w:type="character" w:customStyle="1" w:styleId="TtuloChar">
    <w:name w:val="Título Char"/>
    <w:link w:val="Ttulo"/>
    <w:uiPriority w:val="10"/>
    <w:qFormat/>
    <w:rPr>
      <w:b/>
      <w:sz w:val="24"/>
      <w:szCs w:val="24"/>
      <w:lang w:bidi="ar-SA"/>
    </w:rPr>
  </w:style>
  <w:style w:type="character" w:customStyle="1" w:styleId="LinkdaInternet">
    <w:name w:val="Link da Internet"/>
    <w:uiPriority w:val="99"/>
    <w:unhideWhenUsed/>
    <w:qFormat/>
    <w:rPr>
      <w:color w:val="0000FF"/>
      <w:u w:val="single"/>
    </w:rPr>
  </w:style>
  <w:style w:type="character" w:customStyle="1" w:styleId="apple-converted-space">
    <w:name w:val="apple-converted-space"/>
    <w:basedOn w:val="Fontepargpadro"/>
    <w:qFormat/>
  </w:style>
  <w:style w:type="character" w:customStyle="1" w:styleId="CabealhoChar">
    <w:name w:val="Cabeçalho Char"/>
    <w:link w:val="Cabealho"/>
    <w:uiPriority w:val="99"/>
    <w:qFormat/>
    <w:rPr>
      <w:b/>
      <w:szCs w:val="24"/>
    </w:rPr>
  </w:style>
  <w:style w:type="character" w:customStyle="1" w:styleId="RodapChar">
    <w:name w:val="Rodapé Char"/>
    <w:link w:val="Rodap"/>
    <w:uiPriority w:val="99"/>
    <w:qFormat/>
    <w:rPr>
      <w:rFonts w:ascii="Times New Roman" w:hAnsi="Times New Roman"/>
      <w:sz w:val="24"/>
      <w:szCs w:val="24"/>
    </w:rPr>
  </w:style>
  <w:style w:type="character" w:customStyle="1" w:styleId="Ttulo1Char">
    <w:name w:val="Título 1 Char"/>
    <w:link w:val="Ttulo1"/>
    <w:uiPriority w:val="9"/>
    <w:qFormat/>
    <w:rPr>
      <w:rFonts w:ascii="Cambria" w:eastAsia="Times New Roman" w:hAnsi="Cambria" w:cs="Times New Roman"/>
      <w:b/>
      <w:bCs/>
      <w:kern w:val="2"/>
      <w:sz w:val="32"/>
      <w:szCs w:val="32"/>
    </w:rPr>
  </w:style>
  <w:style w:type="character" w:customStyle="1" w:styleId="Ttulo2Char">
    <w:name w:val="Título 2 Char"/>
    <w:link w:val="Ttulo2"/>
    <w:uiPriority w:val="9"/>
    <w:semiHidden/>
    <w:qFormat/>
    <w:rPr>
      <w:rFonts w:ascii="Cambria" w:eastAsia="Times New Roman" w:hAnsi="Cambria" w:cs="Times New Roman"/>
      <w:b/>
      <w:bCs/>
      <w:i/>
      <w:iCs/>
      <w:sz w:val="28"/>
      <w:szCs w:val="28"/>
    </w:rPr>
  </w:style>
  <w:style w:type="character" w:customStyle="1" w:styleId="SubttuloChar">
    <w:name w:val="Subtítulo Char"/>
    <w:link w:val="Subttulo"/>
    <w:uiPriority w:val="11"/>
    <w:qFormat/>
    <w:rPr>
      <w:rFonts w:ascii="Cambria" w:eastAsia="Times New Roman" w:hAnsi="Cambria" w:cs="Times New Roman"/>
      <w:sz w:val="24"/>
      <w:szCs w:val="24"/>
    </w:rPr>
  </w:style>
  <w:style w:type="character" w:customStyle="1" w:styleId="nfaseSutil1">
    <w:name w:val="Ênfase Sutil1"/>
    <w:uiPriority w:val="19"/>
    <w:qFormat/>
    <w:rPr>
      <w:i/>
      <w:iCs/>
      <w:color w:val="808080"/>
    </w:rPr>
  </w:style>
  <w:style w:type="character" w:customStyle="1" w:styleId="CitaoChar">
    <w:name w:val="Citação Char"/>
    <w:link w:val="Citao"/>
    <w:uiPriority w:val="29"/>
    <w:qFormat/>
    <w:rPr>
      <w:rFonts w:ascii="Times New Roman" w:hAnsi="Times New Roman"/>
      <w:i/>
      <w:iCs/>
      <w:color w:val="000000"/>
      <w:sz w:val="24"/>
      <w:szCs w:val="24"/>
    </w:rPr>
  </w:style>
  <w:style w:type="paragraph" w:styleId="Citao">
    <w:name w:val="Quote"/>
    <w:basedOn w:val="Normal"/>
    <w:next w:val="Normal"/>
    <w:link w:val="CitaoChar"/>
    <w:uiPriority w:val="29"/>
    <w:qFormat/>
    <w:rPr>
      <w:i/>
      <w:iCs/>
      <w:color w:val="000000"/>
    </w:rPr>
  </w:style>
  <w:style w:type="character" w:customStyle="1" w:styleId="CitaoIntensaChar">
    <w:name w:val="Citação Intensa Char"/>
    <w:link w:val="CitaoIntensa"/>
    <w:uiPriority w:val="30"/>
    <w:qFormat/>
    <w:rPr>
      <w:rFonts w:ascii="Times New Roman" w:hAnsi="Times New Roman"/>
      <w:b/>
      <w:bCs/>
      <w:i/>
      <w:iCs/>
      <w:color w:val="4F81BD"/>
      <w:sz w:val="24"/>
      <w:szCs w:val="24"/>
    </w:rPr>
  </w:style>
  <w:style w:type="paragraph" w:styleId="CitaoIntensa">
    <w:name w:val="Intense Quote"/>
    <w:basedOn w:val="Normal"/>
    <w:next w:val="Normal"/>
    <w:link w:val="CitaoIntensaChar"/>
    <w:uiPriority w:val="30"/>
    <w:qFormat/>
    <w:pPr>
      <w:pBdr>
        <w:bottom w:val="single" w:sz="4" w:space="4" w:color="4F81BD"/>
      </w:pBdr>
      <w:spacing w:before="200" w:after="280"/>
      <w:ind w:left="936" w:right="936"/>
    </w:pPr>
    <w:rPr>
      <w:b/>
      <w:bCs/>
      <w:i/>
      <w:iCs/>
      <w:color w:val="4F81BD"/>
    </w:rPr>
  </w:style>
  <w:style w:type="character" w:customStyle="1" w:styleId="RefernciaSutil1">
    <w:name w:val="Referência Sutil1"/>
    <w:uiPriority w:val="31"/>
    <w:qFormat/>
    <w:rPr>
      <w:smallCaps/>
      <w:color w:val="C0504D"/>
      <w:u w:val="single"/>
    </w:rPr>
  </w:style>
  <w:style w:type="character" w:customStyle="1" w:styleId="RefernciaIntensa1">
    <w:name w:val="Referência Intensa1"/>
    <w:uiPriority w:val="32"/>
    <w:qFormat/>
    <w:rPr>
      <w:b/>
      <w:bCs/>
      <w:smallCaps/>
      <w:color w:val="C0504D"/>
      <w:spacing w:val="5"/>
      <w:u w:val="single"/>
    </w:rPr>
  </w:style>
  <w:style w:type="character" w:customStyle="1" w:styleId="TtulodoLivro1">
    <w:name w:val="Título do Livro1"/>
    <w:uiPriority w:val="33"/>
    <w:qFormat/>
    <w:rPr>
      <w:b/>
      <w:bCs/>
      <w:smallCaps/>
      <w:spacing w:val="5"/>
    </w:rPr>
  </w:style>
  <w:style w:type="character" w:customStyle="1" w:styleId="MenoPendente1">
    <w:name w:val="Menção Pendente1"/>
    <w:basedOn w:val="Fontepargpadro"/>
    <w:uiPriority w:val="99"/>
    <w:semiHidden/>
    <w:unhideWhenUsed/>
    <w:qFormat/>
    <w:rPr>
      <w:color w:val="605E5C"/>
      <w:shd w:val="clear" w:color="auto" w:fill="E1DFDD"/>
    </w:rPr>
  </w:style>
  <w:style w:type="character" w:customStyle="1" w:styleId="TextodecomentrioChar">
    <w:name w:val="Texto de comentário Char"/>
    <w:basedOn w:val="Fontepargpadro"/>
    <w:link w:val="Textodecomentrio"/>
    <w:uiPriority w:val="99"/>
    <w:qFormat/>
    <w:rPr>
      <w:rFonts w:ascii="Times New Roman" w:hAnsi="Times New Roman"/>
    </w:rPr>
  </w:style>
  <w:style w:type="character" w:customStyle="1" w:styleId="AssuntodocomentrioChar">
    <w:name w:val="Assunto do comentário Char"/>
    <w:basedOn w:val="TextodecomentrioChar"/>
    <w:link w:val="Assuntodocomentrio"/>
    <w:uiPriority w:val="99"/>
    <w:semiHidden/>
    <w:qFormat/>
    <w:rPr>
      <w:rFonts w:ascii="Times New Roman" w:hAnsi="Times New Roman"/>
      <w:b/>
      <w:bCs/>
    </w:rPr>
  </w:style>
  <w:style w:type="character" w:customStyle="1" w:styleId="TextodebaloChar">
    <w:name w:val="Texto de balão Char"/>
    <w:basedOn w:val="Fontepargpadro"/>
    <w:link w:val="Textodebalo"/>
    <w:uiPriority w:val="99"/>
    <w:semiHidden/>
    <w:qFormat/>
    <w:rPr>
      <w:rFonts w:ascii="Segoe UI" w:hAnsi="Segoe UI" w:cs="Segoe UI"/>
      <w:sz w:val="18"/>
      <w:szCs w:val="18"/>
    </w:rPr>
  </w:style>
  <w:style w:type="paragraph" w:customStyle="1" w:styleId="ndice">
    <w:name w:val="Índice"/>
    <w:basedOn w:val="Normal"/>
    <w:qFormat/>
    <w:pPr>
      <w:suppressLineNumbers/>
    </w:pPr>
    <w:rPr>
      <w:rFonts w:cs="Lucida Sans"/>
    </w:rPr>
  </w:style>
  <w:style w:type="paragraph" w:customStyle="1" w:styleId="AUTORES">
    <w:name w:val="AUTORES"/>
    <w:qFormat/>
    <w:pPr>
      <w:suppressAutoHyphens/>
      <w:spacing w:after="240"/>
      <w:jc w:val="center"/>
    </w:pPr>
    <w:rPr>
      <w:rFonts w:ascii="Arial" w:eastAsia="Calibri" w:hAnsi="Arial" w:cs="Arial"/>
      <w:b/>
      <w:sz w:val="24"/>
      <w:szCs w:val="24"/>
      <w:lang w:val="en-US"/>
    </w:rPr>
  </w:style>
  <w:style w:type="paragraph" w:customStyle="1" w:styleId="INSTITUIO">
    <w:name w:val="INSTITUIÇÃO"/>
    <w:qFormat/>
    <w:pPr>
      <w:suppressAutoHyphens/>
      <w:contextualSpacing/>
      <w:jc w:val="center"/>
    </w:pPr>
    <w:rPr>
      <w:rFonts w:ascii="Arial" w:eastAsia="Calibri" w:hAnsi="Arial" w:cs="Arial"/>
      <w:bCs/>
      <w:i/>
      <w:iCs/>
      <w:szCs w:val="24"/>
    </w:rPr>
  </w:style>
  <w:style w:type="paragraph" w:customStyle="1" w:styleId="RESUMO">
    <w:name w:val="RESUMO"/>
    <w:qFormat/>
    <w:pPr>
      <w:suppressAutoHyphens/>
      <w:spacing w:before="240"/>
      <w:jc w:val="both"/>
    </w:pPr>
    <w:rPr>
      <w:rFonts w:ascii="Arial" w:eastAsia="Calibri" w:hAnsi="Arial" w:cs="Arial"/>
      <w:sz w:val="24"/>
      <w:szCs w:val="22"/>
    </w:rPr>
  </w:style>
  <w:style w:type="paragraph" w:customStyle="1" w:styleId="CabealhoeRodap">
    <w:name w:val="Cabeçalho e Rodapé"/>
    <w:basedOn w:val="Normal"/>
    <w:qFormat/>
  </w:style>
  <w:style w:type="paragraph" w:styleId="SemEspaamento">
    <w:name w:val="No Spacing"/>
    <w:uiPriority w:val="1"/>
    <w:qFormat/>
    <w:pPr>
      <w:suppressAutoHyphens/>
      <w:jc w:val="both"/>
    </w:pPr>
    <w:rPr>
      <w:rFonts w:eastAsia="Calibri"/>
      <w:sz w:val="24"/>
      <w:szCs w:val="24"/>
    </w:rPr>
  </w:style>
  <w:style w:type="paragraph" w:customStyle="1" w:styleId="Ttulodotrabalho">
    <w:name w:val="Título do trabalho"/>
    <w:qFormat/>
    <w:pPr>
      <w:suppressAutoHyphens/>
      <w:spacing w:after="360"/>
      <w:jc w:val="center"/>
    </w:pPr>
    <w:rPr>
      <w:rFonts w:ascii="Arial" w:eastAsia="Calibri" w:hAnsi="Arial" w:cs="Arial"/>
      <w:b/>
      <w:sz w:val="24"/>
      <w:szCs w:val="24"/>
      <w:lang w:val="en-US"/>
    </w:rPr>
  </w:style>
  <w:style w:type="paragraph" w:customStyle="1" w:styleId="autores0">
    <w:name w:val="autores"/>
    <w:qFormat/>
    <w:pPr>
      <w:suppressAutoHyphens/>
      <w:spacing w:after="240"/>
      <w:jc w:val="center"/>
    </w:pPr>
    <w:rPr>
      <w:rFonts w:ascii="Arial" w:eastAsia="Calibri" w:hAnsi="Arial" w:cs="Arial"/>
      <w:b/>
      <w:sz w:val="24"/>
      <w:szCs w:val="24"/>
    </w:rPr>
  </w:style>
  <w:style w:type="paragraph" w:styleId="PargrafodaLista">
    <w:name w:val="List Paragraph"/>
    <w:basedOn w:val="RESUMO"/>
    <w:uiPriority w:val="34"/>
    <w:qFormat/>
  </w:style>
  <w:style w:type="paragraph" w:customStyle="1" w:styleId="resumotitulo">
    <w:name w:val="resumo titulo"/>
    <w:qFormat/>
    <w:pPr>
      <w:suppressAutoHyphens/>
      <w:spacing w:before="480"/>
      <w:jc w:val="center"/>
    </w:pPr>
    <w:rPr>
      <w:rFonts w:ascii="Arial" w:eastAsia="Calibri" w:hAnsi="Arial" w:cs="Arial"/>
      <w:b/>
      <w:sz w:val="24"/>
      <w:szCs w:val="22"/>
    </w:rPr>
  </w:style>
  <w:style w:type="paragraph" w:customStyle="1" w:styleId="PALAVRAS-CHAVE">
    <w:name w:val="PALAVRAS-CHAVE"/>
    <w:basedOn w:val="RESUMO"/>
    <w:qFormat/>
  </w:style>
  <w:style w:type="paragraph" w:customStyle="1" w:styleId="EMAILAUTOR">
    <w:name w:val="EMAIL AUTOR"/>
    <w:qFormat/>
    <w:pPr>
      <w:suppressAutoHyphens/>
      <w:jc w:val="center"/>
    </w:pPr>
    <w:rPr>
      <w:rFonts w:ascii="Arial" w:eastAsia="Calibri" w:hAnsi="Arial" w:cs="Arial"/>
      <w:bCs/>
      <w:i/>
      <w:iCs/>
      <w:szCs w:val="24"/>
    </w:rPr>
  </w:style>
  <w:style w:type="paragraph" w:customStyle="1" w:styleId="TTULOTRABALHO">
    <w:name w:val="TÍTULO TRABALHO"/>
    <w:basedOn w:val="Ttulo"/>
    <w:qFormat/>
  </w:style>
  <w:style w:type="paragraph" w:customStyle="1" w:styleId="Bibliografia1">
    <w:name w:val="Bibliografia1"/>
    <w:basedOn w:val="Normal"/>
    <w:next w:val="Normal"/>
    <w:uiPriority w:val="37"/>
    <w:semiHidden/>
    <w:unhideWhenUsed/>
    <w:qFormat/>
  </w:style>
  <w:style w:type="paragraph" w:customStyle="1" w:styleId="Ttulosemnumerao">
    <w:name w:val="Título sem numeração"/>
    <w:qFormat/>
    <w:pPr>
      <w:suppressAutoHyphens/>
      <w:spacing w:before="360" w:line="360" w:lineRule="auto"/>
      <w:jc w:val="both"/>
    </w:pPr>
    <w:rPr>
      <w:rFonts w:ascii="Arial" w:eastAsia="Times New Roman" w:hAnsi="Arial" w:cs="Arial"/>
      <w:b/>
      <w:sz w:val="24"/>
      <w:szCs w:val="17"/>
    </w:rPr>
  </w:style>
  <w:style w:type="character" w:customStyle="1" w:styleId="normaltextrun">
    <w:name w:val="normaltextrun"/>
    <w:basedOn w:val="Fontepargpadro"/>
    <w:qFormat/>
  </w:style>
  <w:style w:type="paragraph" w:customStyle="1" w:styleId="paragraph">
    <w:name w:val="paragraph"/>
    <w:basedOn w:val="Normal"/>
    <w:qFormat/>
    <w:pPr>
      <w:suppressAutoHyphens w:val="0"/>
      <w:spacing w:before="100" w:beforeAutospacing="1" w:after="100" w:afterAutospacing="1"/>
    </w:pPr>
    <w:rPr>
      <w:rFonts w:eastAsia="Times New Roman"/>
      <w:lang w:val="en-US" w:eastAsia="en-US"/>
    </w:rPr>
  </w:style>
  <w:style w:type="character" w:customStyle="1" w:styleId="eop">
    <w:name w:val="eop"/>
    <w:basedOn w:val="Fontepargpadro"/>
    <w:qFormat/>
  </w:style>
  <w:style w:type="character" w:customStyle="1" w:styleId="MenoPendente2">
    <w:name w:val="Menção Pendente2"/>
    <w:basedOn w:val="Fontepargpadro"/>
    <w:uiPriority w:val="99"/>
    <w:semiHidden/>
    <w:unhideWhenUsed/>
    <w:qFormat/>
    <w:rPr>
      <w:color w:val="605E5C"/>
      <w:shd w:val="clear" w:color="auto" w:fill="E1DFDD"/>
    </w:rPr>
  </w:style>
  <w:style w:type="character" w:customStyle="1" w:styleId="MenoPendente3">
    <w:name w:val="Menção Pendente3"/>
    <w:basedOn w:val="Fontepargpadro"/>
    <w:uiPriority w:val="99"/>
    <w:semiHidden/>
    <w:unhideWhenUsed/>
    <w:rPr>
      <w:color w:val="605E5C"/>
      <w:shd w:val="clear" w:color="auto" w:fill="E1DFDD"/>
    </w:rPr>
  </w:style>
  <w:style w:type="character" w:customStyle="1" w:styleId="Ttulo3Char">
    <w:name w:val="Título 3 Char"/>
    <w:basedOn w:val="Fontepargpadro"/>
    <w:link w:val="Ttulo3"/>
    <w:uiPriority w:val="9"/>
    <w:semiHidden/>
    <w:rPr>
      <w:rFonts w:asciiTheme="majorHAnsi" w:eastAsiaTheme="majorEastAsia" w:hAnsiTheme="majorHAnsi" w:cstheme="majorBidi"/>
      <w:color w:val="244061" w:themeColor="accent1" w:themeShade="80"/>
      <w:sz w:val="24"/>
      <w:szCs w:val="24"/>
    </w:rPr>
  </w:style>
  <w:style w:type="character" w:customStyle="1" w:styleId="MenoPendente4">
    <w:name w:val="Menção Pendente4"/>
    <w:basedOn w:val="Fontepargpadro"/>
    <w:uiPriority w:val="99"/>
    <w:semiHidden/>
    <w:unhideWhenUsed/>
    <w:rPr>
      <w:color w:val="605E5C"/>
      <w:shd w:val="clear" w:color="auto" w:fill="E1DFDD"/>
    </w:rPr>
  </w:style>
  <w:style w:type="paragraph" w:styleId="Textodenotaderodap">
    <w:name w:val="footnote text"/>
    <w:basedOn w:val="Normal"/>
    <w:link w:val="TextodenotaderodapChar"/>
    <w:uiPriority w:val="99"/>
    <w:semiHidden/>
    <w:unhideWhenUsed/>
    <w:rsid w:val="00E53D02"/>
    <w:rPr>
      <w:sz w:val="20"/>
      <w:szCs w:val="20"/>
    </w:rPr>
  </w:style>
  <w:style w:type="character" w:customStyle="1" w:styleId="TextodenotaderodapChar">
    <w:name w:val="Texto de nota de rodapé Char"/>
    <w:basedOn w:val="Fontepargpadro"/>
    <w:link w:val="Textodenotaderodap"/>
    <w:uiPriority w:val="99"/>
    <w:semiHidden/>
    <w:rsid w:val="00E53D02"/>
    <w:rPr>
      <w:rFonts w:eastAsia="Calibri"/>
    </w:rPr>
  </w:style>
  <w:style w:type="character" w:styleId="Refdenotaderodap">
    <w:name w:val="footnote reference"/>
    <w:basedOn w:val="Fontepargpadro"/>
    <w:uiPriority w:val="99"/>
    <w:semiHidden/>
    <w:unhideWhenUsed/>
    <w:rsid w:val="00E53D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6508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6.emf"/><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90D86E-6F4C-44E4-ADE6-D629901B9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45</Pages>
  <Words>13763</Words>
  <Characters>74325</Characters>
  <Application>Microsoft Office Word</Application>
  <DocSecurity>0</DocSecurity>
  <Lines>619</Lines>
  <Paragraphs>175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87913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UniFOA</dc:creator>
  <cp:lastModifiedBy>Sallete</cp:lastModifiedBy>
  <cp:revision>4</cp:revision>
  <cp:lastPrinted>2024-12-10T00:12:00Z</cp:lastPrinted>
  <dcterms:created xsi:type="dcterms:W3CDTF">2024-12-20T20:40:00Z</dcterms:created>
  <dcterms:modified xsi:type="dcterms:W3CDTF">2024-12-20T21:21:00Z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0x010100AC31AD3791EBCE418179706A7D5F855E</vt:lpwstr>
  </property>
  <property fmtid="{D5CDD505-2E9C-101B-9397-08002B2CF9AE}" pid="3" name="KSOProductBuildVer">
    <vt:lpwstr>1046-12.2.0.18911</vt:lpwstr>
  </property>
  <property fmtid="{D5CDD505-2E9C-101B-9397-08002B2CF9AE}" pid="4" name="ICV">
    <vt:lpwstr>B9DFFC1CE0C4403ABC1BA63CC6A392A7_13</vt:lpwstr>
  </property>
</Properties>
</file>